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1D" w:rsidRPr="00D067DB" w:rsidRDefault="007B631D" w:rsidP="00D067DB">
      <w:pPr>
        <w:pStyle w:val="a3"/>
        <w:ind w:firstLine="0"/>
        <w:jc w:val="center"/>
        <w:rPr>
          <w:b/>
          <w:szCs w:val="30"/>
        </w:rPr>
      </w:pPr>
      <w:r w:rsidRPr="00D067DB">
        <w:rPr>
          <w:b/>
          <w:szCs w:val="30"/>
        </w:rPr>
        <w:t xml:space="preserve">КОНСОЛИДИРОВАННЫЙ БЮДЖЕТ </w:t>
      </w:r>
      <w:r w:rsidR="00FF314F">
        <w:rPr>
          <w:b/>
          <w:szCs w:val="30"/>
        </w:rPr>
        <w:t xml:space="preserve">МАЛОРИТСКОГО РАЙОНА </w:t>
      </w:r>
      <w:r w:rsidR="005F7862" w:rsidRPr="00D067DB">
        <w:rPr>
          <w:b/>
          <w:szCs w:val="30"/>
        </w:rPr>
        <w:t>НА 20</w:t>
      </w:r>
      <w:r w:rsidR="00BC4F5D">
        <w:rPr>
          <w:b/>
          <w:szCs w:val="30"/>
        </w:rPr>
        <w:t>20</w:t>
      </w:r>
      <w:r w:rsidR="005F7862" w:rsidRPr="00D067DB">
        <w:rPr>
          <w:b/>
          <w:szCs w:val="30"/>
        </w:rPr>
        <w:t xml:space="preserve"> ГОД</w:t>
      </w:r>
    </w:p>
    <w:p w:rsidR="005F7862" w:rsidRPr="00D067DB" w:rsidRDefault="005F7862" w:rsidP="00D067DB">
      <w:pPr>
        <w:pStyle w:val="a3"/>
        <w:ind w:firstLine="0"/>
        <w:jc w:val="center"/>
        <w:rPr>
          <w:b/>
          <w:szCs w:val="30"/>
        </w:rPr>
      </w:pPr>
    </w:p>
    <w:p w:rsidR="005F7862" w:rsidRPr="00D067DB" w:rsidRDefault="005F7862" w:rsidP="00D067DB">
      <w:pPr>
        <w:pStyle w:val="a3"/>
        <w:ind w:firstLine="0"/>
        <w:jc w:val="center"/>
        <w:rPr>
          <w:b/>
          <w:szCs w:val="30"/>
        </w:rPr>
      </w:pPr>
      <w:r w:rsidRPr="00D067DB">
        <w:rPr>
          <w:b/>
          <w:szCs w:val="30"/>
        </w:rPr>
        <w:t>Доходы</w:t>
      </w:r>
    </w:p>
    <w:p w:rsidR="00FF314F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В свод консолидированного бюджета 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Малоритского района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включены утвержденные местны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ми Советами депутатов 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районный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и бюджеты 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сельских Советов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общей сумме </w:t>
      </w:r>
      <w:r w:rsidR="00BC4F5D">
        <w:rPr>
          <w:rFonts w:ascii="Times New Roman" w:eastAsia="Times New Roman" w:hAnsi="Times New Roman"/>
          <w:sz w:val="30"/>
          <w:szCs w:val="30"/>
          <w:lang w:eastAsia="ru-RU"/>
        </w:rPr>
        <w:t>41 785,0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по доходам и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расходам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B631D" w:rsidRPr="00D067DB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В объеме доходов бюджета 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собственные доходы </w:t>
      </w:r>
      <w:r w:rsidR="00CC54A9"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>(налоговые и неналоговые доходы)</w:t>
      </w:r>
      <w:r w:rsidR="00CC54A9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составляют </w:t>
      </w:r>
      <w:r w:rsidR="00BC4F5D">
        <w:rPr>
          <w:rFonts w:ascii="Times New Roman" w:eastAsia="Times New Roman" w:hAnsi="Times New Roman"/>
          <w:sz w:val="30"/>
          <w:szCs w:val="30"/>
          <w:lang w:eastAsia="ru-RU"/>
        </w:rPr>
        <w:t xml:space="preserve">17 689,9 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>тыс.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9E7DF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C4F5D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9E7DF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BC4F5D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%) и </w:t>
      </w:r>
      <w:r w:rsidRPr="00D067DB">
        <w:rPr>
          <w:rFonts w:ascii="Times New Roman" w:eastAsia="Times New Roman" w:hAnsi="Times New Roman"/>
          <w:b/>
          <w:sz w:val="30"/>
          <w:szCs w:val="30"/>
          <w:lang w:eastAsia="ru-RU"/>
        </w:rPr>
        <w:t>средства, получаемые из республиканского бюджета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4F5D">
        <w:rPr>
          <w:rFonts w:ascii="Times New Roman" w:eastAsia="Times New Roman" w:hAnsi="Times New Roman"/>
          <w:sz w:val="30"/>
          <w:szCs w:val="30"/>
          <w:lang w:eastAsia="ru-RU"/>
        </w:rPr>
        <w:t>24 095,1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BC4F5D">
        <w:rPr>
          <w:rFonts w:ascii="Times New Roman" w:eastAsia="Times New Roman" w:hAnsi="Times New Roman"/>
          <w:sz w:val="30"/>
          <w:szCs w:val="30"/>
          <w:lang w:eastAsia="ru-RU"/>
        </w:rPr>
        <w:t>57,7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E0189B" w:rsidRPr="00D067DB" w:rsidRDefault="00E0189B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</w:pPr>
    </w:p>
    <w:p w:rsidR="007B24C0" w:rsidRPr="00D067DB" w:rsidRDefault="007B24C0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Структура доходов консолидированного бюджета </w:t>
      </w:r>
      <w:r w:rsidR="00FF314F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района</w:t>
      </w: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2431B"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</w: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</w:t>
      </w:r>
      <w:r w:rsidR="00BC4F5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Pr="00D067D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 (в процентах)</w:t>
      </w:r>
      <w:r w:rsidR="000C20BA" w:rsidRPr="000C20BA">
        <w:rPr>
          <w:noProof/>
          <w:lang w:eastAsia="ru-RU"/>
        </w:rPr>
        <w:t xml:space="preserve"> </w:t>
      </w:r>
      <w:r w:rsidR="000C20BA" w:rsidRPr="000C20BA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drawing>
          <wp:inline distT="0" distB="0" distL="0" distR="0" wp14:anchorId="31C7FD6E" wp14:editId="73690FA2">
            <wp:extent cx="5940425" cy="3840480"/>
            <wp:effectExtent l="0" t="0" r="31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631D" w:rsidRPr="00D067DB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В структуре собственных доходов бюджета 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района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 w:rsidR="0059682E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налоговые доходы составляют </w:t>
      </w:r>
      <w:r w:rsidR="0059682E">
        <w:rPr>
          <w:rFonts w:ascii="Times New Roman" w:eastAsia="Times New Roman" w:hAnsi="Times New Roman"/>
          <w:sz w:val="30"/>
          <w:szCs w:val="30"/>
          <w:lang w:eastAsia="ru-RU"/>
        </w:rPr>
        <w:t>15 710,0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6A73F8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59682E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6A73F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9682E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>%), неналоговые доходы –</w:t>
      </w:r>
      <w:r w:rsidR="00FF314F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59682E">
        <w:rPr>
          <w:rFonts w:ascii="Times New Roman" w:eastAsia="Times New Roman" w:hAnsi="Times New Roman"/>
          <w:sz w:val="30"/>
          <w:szCs w:val="30"/>
          <w:lang w:eastAsia="ru-RU"/>
        </w:rPr>
        <w:t> 979,9</w:t>
      </w:r>
      <w:r w:rsidR="00CD325B"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6A73F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59682E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6A73F8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9682E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D067DB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7B631D" w:rsidRPr="00D067DB" w:rsidRDefault="007B631D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>Налоговые доходы формируются за счет поступлений</w:t>
      </w:r>
      <w:r w:rsidRPr="006224F3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подоходного налога – </w:t>
      </w:r>
      <w:r w:rsidR="0090295C" w:rsidRPr="006224F3">
        <w:rPr>
          <w:rFonts w:ascii="Times New Roman" w:eastAsia="Times New Roman" w:hAnsi="Times New Roman"/>
          <w:sz w:val="30"/>
          <w:szCs w:val="30"/>
          <w:lang w:eastAsia="ru-RU"/>
        </w:rPr>
        <w:t>7 383,3</w:t>
      </w:r>
      <w:r w:rsidR="00CD325B"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080964">
        <w:rPr>
          <w:rFonts w:ascii="Times New Roman" w:eastAsia="Times New Roman" w:hAnsi="Times New Roman"/>
          <w:sz w:val="30"/>
          <w:szCs w:val="30"/>
          <w:lang w:eastAsia="ru-RU"/>
        </w:rPr>
        <w:t>47,0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%), налога на добавленную стоимость – </w:t>
      </w:r>
      <w:r w:rsidR="0090295C" w:rsidRPr="006224F3">
        <w:rPr>
          <w:rFonts w:ascii="Times New Roman" w:eastAsia="Times New Roman" w:hAnsi="Times New Roman"/>
          <w:sz w:val="30"/>
          <w:szCs w:val="30"/>
          <w:lang w:eastAsia="ru-RU"/>
        </w:rPr>
        <w:t>4 690,5</w:t>
      </w:r>
      <w:r w:rsidR="00CD325B"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90295C" w:rsidRPr="006224F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080964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90295C" w:rsidRPr="006224F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80964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>%), налогов на собственность –</w:t>
      </w:r>
      <w:r w:rsidR="006224F3" w:rsidRPr="006224F3">
        <w:rPr>
          <w:rFonts w:ascii="Times New Roman" w:eastAsia="Times New Roman" w:hAnsi="Times New Roman"/>
          <w:sz w:val="30"/>
          <w:szCs w:val="30"/>
          <w:lang w:eastAsia="ru-RU"/>
        </w:rPr>
        <w:t>1 417,7</w:t>
      </w:r>
      <w:r w:rsidR="00CD325B"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080964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6224F3" w:rsidRPr="006224F3">
        <w:rPr>
          <w:rFonts w:ascii="Times New Roman" w:eastAsia="Times New Roman" w:hAnsi="Times New Roman"/>
          <w:sz w:val="30"/>
          <w:szCs w:val="30"/>
          <w:lang w:eastAsia="ru-RU"/>
        </w:rPr>
        <w:t>,0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%), налога на прибыль – </w:t>
      </w:r>
      <w:r w:rsidR="006224F3" w:rsidRPr="006224F3">
        <w:rPr>
          <w:rFonts w:ascii="Times New Roman" w:eastAsia="Times New Roman" w:hAnsi="Times New Roman"/>
          <w:sz w:val="30"/>
          <w:szCs w:val="30"/>
          <w:lang w:eastAsia="ru-RU"/>
        </w:rPr>
        <w:t>245,7</w:t>
      </w:r>
      <w:r w:rsidR="00CD325B"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FF314F" w:rsidRPr="006224F3">
        <w:rPr>
          <w:rFonts w:ascii="Times New Roman" w:eastAsia="Times New Roman" w:hAnsi="Times New Roman"/>
          <w:sz w:val="30"/>
          <w:szCs w:val="30"/>
          <w:lang w:eastAsia="ru-RU"/>
        </w:rPr>
        <w:t>1,</w:t>
      </w:r>
      <w:r w:rsidR="00080964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%), других налогов от выручки от реализации товаров (работ, услуг) – </w:t>
      </w:r>
      <w:r w:rsidR="006224F3" w:rsidRPr="006224F3">
        <w:rPr>
          <w:rFonts w:ascii="Times New Roman" w:eastAsia="Times New Roman" w:hAnsi="Times New Roman"/>
          <w:sz w:val="30"/>
          <w:szCs w:val="30"/>
          <w:lang w:eastAsia="ru-RU"/>
        </w:rPr>
        <w:t>1 739,4</w:t>
      </w:r>
      <w:r w:rsidR="00CD325B"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(</w:t>
      </w:r>
      <w:r w:rsidR="00080964">
        <w:rPr>
          <w:rFonts w:ascii="Times New Roman" w:eastAsia="Times New Roman" w:hAnsi="Times New Roman"/>
          <w:sz w:val="30"/>
          <w:szCs w:val="30"/>
          <w:lang w:eastAsia="ru-RU"/>
        </w:rPr>
        <w:t>11,1</w:t>
      </w:r>
      <w:r w:rsidRPr="006224F3">
        <w:rPr>
          <w:rFonts w:ascii="Times New Roman" w:eastAsia="Times New Roman" w:hAnsi="Times New Roman"/>
          <w:sz w:val="30"/>
          <w:szCs w:val="30"/>
          <w:lang w:eastAsia="ru-RU"/>
        </w:rPr>
        <w:t>%)</w:t>
      </w:r>
      <w:r w:rsidR="000951AB">
        <w:rPr>
          <w:rFonts w:ascii="Times New Roman" w:eastAsia="Times New Roman" w:hAnsi="Times New Roman"/>
          <w:sz w:val="30"/>
          <w:szCs w:val="30"/>
          <w:lang w:eastAsia="ru-RU"/>
        </w:rPr>
        <w:t>, прочих налогов и сборов – 233,4 тыс. рублей (1,5%).</w:t>
      </w:r>
    </w:p>
    <w:p w:rsidR="0087611B" w:rsidRPr="00080964" w:rsidRDefault="0087611B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08096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Структура налоговых доходов консолидированного бюджета </w:t>
      </w:r>
      <w:r w:rsidR="00942A06" w:rsidRPr="0008096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района </w:t>
      </w:r>
      <w:r w:rsidRPr="0008096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20</w:t>
      </w:r>
      <w:r w:rsidR="00321997" w:rsidRPr="0008096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</w:t>
      </w:r>
      <w:r w:rsidRPr="0008096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году</w:t>
      </w:r>
    </w:p>
    <w:p w:rsidR="00942A06" w:rsidRDefault="00C8648E" w:rsidP="00D06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</w:pPr>
      <w:r w:rsidRPr="00321997">
        <w:rPr>
          <w:rFonts w:ascii="Times New Roman" w:eastAsia="Times New Roman" w:hAnsi="Times New Roman"/>
          <w:noProof/>
          <w:sz w:val="30"/>
          <w:szCs w:val="30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1C30E663" wp14:editId="1B03295A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753100" cy="36004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D84" w:rsidRDefault="00C906EB" w:rsidP="002D2D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1997">
        <w:rPr>
          <w:rFonts w:ascii="Times New Roman" w:hAnsi="Times New Roman"/>
          <w:sz w:val="30"/>
          <w:szCs w:val="30"/>
          <w:highlight w:val="yellow"/>
        </w:rPr>
        <w:br w:type="textWrapping" w:clear="all"/>
      </w:r>
    </w:p>
    <w:p w:rsidR="00915509" w:rsidRPr="003C342B" w:rsidRDefault="000E23A0" w:rsidP="002D2D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342B">
        <w:rPr>
          <w:rFonts w:ascii="Times New Roman" w:hAnsi="Times New Roman"/>
          <w:sz w:val="30"/>
          <w:szCs w:val="30"/>
        </w:rPr>
        <w:t>В 20</w:t>
      </w:r>
      <w:r w:rsidR="003C342B" w:rsidRPr="003C342B">
        <w:rPr>
          <w:rFonts w:ascii="Times New Roman" w:hAnsi="Times New Roman"/>
          <w:sz w:val="30"/>
          <w:szCs w:val="30"/>
        </w:rPr>
        <w:t>20</w:t>
      </w:r>
      <w:r w:rsidRPr="003C342B">
        <w:rPr>
          <w:rFonts w:ascii="Times New Roman" w:hAnsi="Times New Roman"/>
          <w:sz w:val="30"/>
          <w:szCs w:val="30"/>
        </w:rPr>
        <w:t xml:space="preserve"> году бюджету </w:t>
      </w:r>
      <w:r w:rsidR="00942A06" w:rsidRPr="003C342B">
        <w:rPr>
          <w:rFonts w:ascii="Times New Roman" w:hAnsi="Times New Roman"/>
          <w:sz w:val="30"/>
          <w:szCs w:val="30"/>
        </w:rPr>
        <w:t>района</w:t>
      </w:r>
      <w:r w:rsidRPr="003C342B">
        <w:rPr>
          <w:rFonts w:ascii="Times New Roman" w:hAnsi="Times New Roman"/>
          <w:sz w:val="30"/>
          <w:szCs w:val="30"/>
        </w:rPr>
        <w:t xml:space="preserve"> из республиканского бюджета передаются безвозмездные поступления в общей сумме</w:t>
      </w:r>
      <w:r w:rsidR="005F7862" w:rsidRPr="003C342B">
        <w:rPr>
          <w:rFonts w:ascii="Times New Roman" w:hAnsi="Times New Roman"/>
          <w:sz w:val="30"/>
          <w:szCs w:val="30"/>
        </w:rPr>
        <w:t xml:space="preserve"> </w:t>
      </w:r>
      <w:r w:rsidR="008A5AAF" w:rsidRPr="003C342B">
        <w:rPr>
          <w:rFonts w:ascii="Times New Roman" w:hAnsi="Times New Roman"/>
          <w:sz w:val="30"/>
          <w:szCs w:val="30"/>
        </w:rPr>
        <w:t>24 095,1</w:t>
      </w:r>
      <w:r w:rsidR="005F7862" w:rsidRPr="003C342B">
        <w:rPr>
          <w:rFonts w:ascii="Times New Roman" w:hAnsi="Times New Roman"/>
          <w:sz w:val="30"/>
          <w:szCs w:val="30"/>
        </w:rPr>
        <w:t xml:space="preserve"> </w:t>
      </w:r>
      <w:r w:rsidRPr="003C342B">
        <w:rPr>
          <w:rFonts w:ascii="Times New Roman" w:hAnsi="Times New Roman"/>
          <w:sz w:val="30"/>
          <w:szCs w:val="30"/>
        </w:rPr>
        <w:t>тыс. рублей, в том числе</w:t>
      </w:r>
      <w:r w:rsidR="00915509" w:rsidRPr="003C342B">
        <w:rPr>
          <w:rFonts w:ascii="Times New Roman" w:hAnsi="Times New Roman"/>
          <w:sz w:val="30"/>
          <w:szCs w:val="30"/>
        </w:rPr>
        <w:t>:</w:t>
      </w:r>
    </w:p>
    <w:p w:rsidR="005C7E3A" w:rsidRPr="003C342B" w:rsidRDefault="000E23A0" w:rsidP="00D067DB">
      <w:pPr>
        <w:spacing w:after="0" w:line="240" w:lineRule="auto"/>
        <w:ind w:firstLineChars="300" w:firstLine="90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342B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916A61" w:rsidRPr="003C342B">
        <w:rPr>
          <w:rFonts w:ascii="Times New Roman" w:hAnsi="Times New Roman"/>
          <w:b/>
          <w:i/>
          <w:sz w:val="30"/>
          <w:szCs w:val="30"/>
        </w:rPr>
        <w:t>д</w:t>
      </w:r>
      <w:r w:rsidRPr="003C342B">
        <w:rPr>
          <w:rFonts w:ascii="Times New Roman" w:hAnsi="Times New Roman"/>
          <w:b/>
          <w:i/>
          <w:sz w:val="30"/>
          <w:szCs w:val="30"/>
        </w:rPr>
        <w:t>отации</w:t>
      </w:r>
      <w:r w:rsidR="00916A61" w:rsidRPr="003C342B">
        <w:rPr>
          <w:rFonts w:ascii="Times New Roman" w:hAnsi="Times New Roman"/>
          <w:sz w:val="30"/>
          <w:szCs w:val="30"/>
        </w:rPr>
        <w:t xml:space="preserve"> </w:t>
      </w:r>
      <w:r w:rsidR="00942A06" w:rsidRPr="003C342B">
        <w:rPr>
          <w:rFonts w:ascii="Times New Roman" w:hAnsi="Times New Roman"/>
          <w:sz w:val="30"/>
          <w:szCs w:val="30"/>
        </w:rPr>
        <w:t>–</w:t>
      </w:r>
      <w:r w:rsidRPr="003C342B">
        <w:rPr>
          <w:rFonts w:ascii="Times New Roman" w:hAnsi="Times New Roman"/>
          <w:sz w:val="30"/>
          <w:szCs w:val="30"/>
        </w:rPr>
        <w:t xml:space="preserve"> </w:t>
      </w:r>
      <w:r w:rsidR="008A5AAF" w:rsidRPr="003C342B">
        <w:rPr>
          <w:rFonts w:ascii="Times New Roman" w:hAnsi="Times New Roman"/>
          <w:sz w:val="30"/>
          <w:szCs w:val="30"/>
        </w:rPr>
        <w:t>23 679,2</w:t>
      </w:r>
      <w:r w:rsidR="00172E74" w:rsidRPr="003C342B">
        <w:rPr>
          <w:rFonts w:ascii="Times New Roman" w:hAnsi="Times New Roman"/>
          <w:sz w:val="30"/>
          <w:szCs w:val="30"/>
        </w:rPr>
        <w:t xml:space="preserve"> </w:t>
      </w:r>
      <w:r w:rsidRPr="003C342B">
        <w:rPr>
          <w:rFonts w:ascii="Times New Roman" w:hAnsi="Times New Roman"/>
          <w:sz w:val="30"/>
          <w:szCs w:val="30"/>
        </w:rPr>
        <w:t>тыс. ру</w:t>
      </w:r>
      <w:r w:rsidR="00915509" w:rsidRPr="003C342B">
        <w:rPr>
          <w:rFonts w:ascii="Times New Roman" w:hAnsi="Times New Roman"/>
          <w:sz w:val="30"/>
          <w:szCs w:val="30"/>
        </w:rPr>
        <w:t>блей;</w:t>
      </w:r>
    </w:p>
    <w:p w:rsidR="005C7E3A" w:rsidRPr="00D067DB" w:rsidRDefault="00042431" w:rsidP="00D067DB">
      <w:pPr>
        <w:spacing w:after="0" w:line="240" w:lineRule="auto"/>
        <w:ind w:firstLineChars="300" w:firstLine="90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342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5C7E3A" w:rsidRPr="003C342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субвенции</w:t>
      </w:r>
      <w:r w:rsidR="005C7E3A" w:rsidRPr="003C342B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8A5AAF" w:rsidRPr="003C342B">
        <w:rPr>
          <w:rFonts w:ascii="Times New Roman" w:eastAsia="Times New Roman" w:hAnsi="Times New Roman"/>
          <w:sz w:val="30"/>
          <w:szCs w:val="30"/>
          <w:lang w:eastAsia="ru-RU"/>
        </w:rPr>
        <w:t>415,9</w:t>
      </w:r>
      <w:r w:rsidR="005C7E3A" w:rsidRPr="003C342B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 на финансирование расходов по развитию сельского хозяйства и рыбохозяйственной деятельности</w:t>
      </w:r>
      <w:r w:rsidR="00942A06" w:rsidRPr="003C342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10000" w:rsidRPr="00D067DB" w:rsidRDefault="00110000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D325B" w:rsidRPr="000D682E" w:rsidRDefault="005F7862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D682E">
        <w:rPr>
          <w:rFonts w:ascii="Times New Roman" w:hAnsi="Times New Roman"/>
          <w:b/>
          <w:sz w:val="30"/>
          <w:szCs w:val="30"/>
        </w:rPr>
        <w:t>Расходы</w:t>
      </w:r>
    </w:p>
    <w:p w:rsidR="0087611B" w:rsidRPr="000D682E" w:rsidRDefault="0087611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682E">
        <w:rPr>
          <w:rFonts w:ascii="Times New Roman" w:hAnsi="Times New Roman"/>
          <w:sz w:val="30"/>
          <w:szCs w:val="30"/>
        </w:rPr>
        <w:t xml:space="preserve">В соответствии с бюджетной классификацией финансирование расходов бюджета </w:t>
      </w:r>
      <w:r w:rsidR="00942A06" w:rsidRPr="000D682E">
        <w:rPr>
          <w:rFonts w:ascii="Times New Roman" w:hAnsi="Times New Roman"/>
          <w:sz w:val="30"/>
          <w:szCs w:val="30"/>
        </w:rPr>
        <w:t>района</w:t>
      </w:r>
      <w:r w:rsidRPr="000D682E">
        <w:rPr>
          <w:rFonts w:ascii="Times New Roman" w:hAnsi="Times New Roman"/>
          <w:sz w:val="30"/>
          <w:szCs w:val="30"/>
        </w:rPr>
        <w:t xml:space="preserve"> осуществляется по </w:t>
      </w:r>
      <w:r w:rsidR="005C7E3A" w:rsidRPr="000D682E">
        <w:rPr>
          <w:rFonts w:ascii="Times New Roman" w:hAnsi="Times New Roman"/>
          <w:sz w:val="30"/>
          <w:szCs w:val="30"/>
        </w:rPr>
        <w:t>следующим</w:t>
      </w:r>
      <w:r w:rsidR="00C25324" w:rsidRPr="000D682E">
        <w:rPr>
          <w:rFonts w:ascii="Times New Roman" w:hAnsi="Times New Roman"/>
          <w:sz w:val="30"/>
          <w:szCs w:val="30"/>
        </w:rPr>
        <w:t xml:space="preserve"> </w:t>
      </w:r>
      <w:r w:rsidRPr="000D682E">
        <w:rPr>
          <w:rFonts w:ascii="Times New Roman" w:hAnsi="Times New Roman"/>
          <w:sz w:val="30"/>
          <w:szCs w:val="30"/>
        </w:rPr>
        <w:t>направлениям</w:t>
      </w:r>
      <w:r w:rsidR="00916A61" w:rsidRPr="000D682E">
        <w:rPr>
          <w:rFonts w:ascii="Times New Roman" w:hAnsi="Times New Roman"/>
          <w:sz w:val="30"/>
          <w:szCs w:val="30"/>
        </w:rPr>
        <w:t>.</w:t>
      </w:r>
    </w:p>
    <w:p w:rsidR="006C453C" w:rsidRPr="000D682E" w:rsidRDefault="00427D01" w:rsidP="006C45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D682E">
        <w:rPr>
          <w:rFonts w:ascii="Times New Roman" w:hAnsi="Times New Roman"/>
          <w:sz w:val="30"/>
          <w:szCs w:val="30"/>
        </w:rPr>
        <w:t xml:space="preserve">За счет средств бюджета района финансируются социально значимые расходы: обеспечивается работа учреждений дошкольного и общего среднего образования, учреждений здравоохранения, удешевляется стоимость жилищно-коммунальных услуг и услуг пассажирского транспорта, предоставляемых населению, реализуются мероприятия по социальному обеспечению граждан, содержится местная улично-дорожная сеть, создается инженерная инфраструктура к жилью. </w:t>
      </w:r>
      <w:r w:rsidR="006C453C" w:rsidRPr="000D682E">
        <w:rPr>
          <w:rFonts w:ascii="Times New Roman" w:hAnsi="Times New Roman"/>
          <w:sz w:val="30"/>
          <w:szCs w:val="30"/>
        </w:rPr>
        <w:t xml:space="preserve">В числе важнейших направлений социальных расходов – финансирование учреждений и мероприятий </w:t>
      </w:r>
      <w:r w:rsidR="006C453C" w:rsidRPr="000D682E">
        <w:rPr>
          <w:rFonts w:ascii="Times New Roman" w:hAnsi="Times New Roman"/>
          <w:b/>
          <w:sz w:val="30"/>
          <w:szCs w:val="30"/>
        </w:rPr>
        <w:t>социальной сферы</w:t>
      </w:r>
      <w:r w:rsidR="006C453C" w:rsidRPr="000D682E">
        <w:rPr>
          <w:rFonts w:ascii="Times New Roman" w:hAnsi="Times New Roman"/>
          <w:sz w:val="30"/>
          <w:szCs w:val="30"/>
        </w:rPr>
        <w:t>: образования, здравоохранения, физической культуры и спорта, культуры, социальной политики. В бюджете района на 20</w:t>
      </w:r>
      <w:r w:rsidR="003C342B" w:rsidRPr="000D682E">
        <w:rPr>
          <w:rFonts w:ascii="Times New Roman" w:hAnsi="Times New Roman"/>
          <w:sz w:val="30"/>
          <w:szCs w:val="30"/>
        </w:rPr>
        <w:t>20</w:t>
      </w:r>
      <w:r w:rsidR="006C453C" w:rsidRPr="000D682E">
        <w:rPr>
          <w:rFonts w:ascii="Times New Roman" w:hAnsi="Times New Roman"/>
          <w:sz w:val="30"/>
          <w:szCs w:val="30"/>
        </w:rPr>
        <w:t xml:space="preserve"> год расходы на социальную сферу определены в </w:t>
      </w:r>
      <w:r w:rsidR="006C453C" w:rsidRPr="000D682E">
        <w:rPr>
          <w:rFonts w:ascii="Times New Roman" w:hAnsi="Times New Roman"/>
          <w:sz w:val="30"/>
          <w:szCs w:val="30"/>
        </w:rPr>
        <w:lastRenderedPageBreak/>
        <w:t xml:space="preserve">сумме </w:t>
      </w:r>
      <w:r w:rsidR="003C342B" w:rsidRPr="000D682E">
        <w:rPr>
          <w:rFonts w:ascii="Times New Roman" w:hAnsi="Times New Roman"/>
          <w:sz w:val="30"/>
          <w:szCs w:val="30"/>
        </w:rPr>
        <w:t>32 946,6</w:t>
      </w:r>
      <w:r w:rsidR="006C453C" w:rsidRPr="000D682E">
        <w:rPr>
          <w:rFonts w:ascii="Times New Roman" w:hAnsi="Times New Roman"/>
          <w:sz w:val="30"/>
          <w:szCs w:val="30"/>
        </w:rPr>
        <w:t xml:space="preserve"> тыс. рублей, или </w:t>
      </w:r>
      <w:r w:rsidR="000D682E" w:rsidRPr="000D682E">
        <w:rPr>
          <w:rFonts w:ascii="Times New Roman" w:hAnsi="Times New Roman"/>
          <w:sz w:val="30"/>
          <w:szCs w:val="30"/>
        </w:rPr>
        <w:t>78,8</w:t>
      </w:r>
      <w:r w:rsidR="006C453C" w:rsidRPr="000D682E">
        <w:rPr>
          <w:rFonts w:ascii="Times New Roman" w:hAnsi="Times New Roman"/>
          <w:sz w:val="30"/>
          <w:szCs w:val="30"/>
        </w:rPr>
        <w:t>% общего объема расходов консолидированного бюджета района.</w:t>
      </w:r>
    </w:p>
    <w:p w:rsidR="00CA4530" w:rsidRDefault="00CA4530" w:rsidP="006C45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A4530" w:rsidRPr="00D07E6E" w:rsidRDefault="00CA4530" w:rsidP="00CA45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07E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Структура расходов консолидированного бюджета района</w:t>
      </w:r>
    </w:p>
    <w:p w:rsidR="00CA4530" w:rsidRDefault="00CA4530" w:rsidP="00CA45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07E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2020 год</w:t>
      </w:r>
    </w:p>
    <w:p w:rsidR="00CA4530" w:rsidRDefault="00CA4530" w:rsidP="00CA45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A2D8A" w:rsidRPr="00321997" w:rsidRDefault="00C76CEE" w:rsidP="00E63659">
      <w:pPr>
        <w:spacing w:after="0" w:line="240" w:lineRule="auto"/>
        <w:jc w:val="center"/>
        <w:rPr>
          <w:rFonts w:ascii="Times New Roman" w:hAnsi="Times New Roman"/>
          <w:sz w:val="30"/>
          <w:szCs w:val="30"/>
          <w:highlight w:val="yellow"/>
        </w:rPr>
      </w:pPr>
      <w:r w:rsidRPr="00321997">
        <w:rPr>
          <w:rFonts w:ascii="Times New Roman" w:hAnsi="Times New Roman"/>
          <w:noProof/>
          <w:sz w:val="30"/>
          <w:szCs w:val="30"/>
          <w:highlight w:val="yellow"/>
          <w:lang w:eastAsia="ru-RU"/>
        </w:rPr>
        <w:drawing>
          <wp:inline distT="0" distB="0" distL="0" distR="0" wp14:anchorId="5D97139A" wp14:editId="0EDC7803">
            <wp:extent cx="5833745" cy="4200525"/>
            <wp:effectExtent l="0" t="0" r="1460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4530" w:rsidRDefault="00CA4530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C625D1" w:rsidRPr="00797DA8" w:rsidRDefault="00C625D1" w:rsidP="00C625D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797DA8">
        <w:rPr>
          <w:rFonts w:ascii="Times New Roman" w:hAnsi="Times New Roman"/>
          <w:b/>
          <w:sz w:val="30"/>
          <w:szCs w:val="30"/>
          <w:u w:val="single"/>
        </w:rPr>
        <w:t>Общегосударственная деятельность</w:t>
      </w:r>
    </w:p>
    <w:p w:rsidR="00CA4530" w:rsidRPr="00797DA8" w:rsidRDefault="00CA4530" w:rsidP="00CA45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7DA8">
        <w:rPr>
          <w:rFonts w:ascii="Times New Roman" w:hAnsi="Times New Roman"/>
          <w:sz w:val="30"/>
          <w:szCs w:val="30"/>
        </w:rPr>
        <w:t xml:space="preserve">На финансирование общегосударственной деятельности предусмотрено 7,3 % </w:t>
      </w:r>
      <w:r w:rsidR="00224882" w:rsidRPr="00797DA8">
        <w:rPr>
          <w:rFonts w:ascii="Times New Roman" w:hAnsi="Times New Roman"/>
          <w:sz w:val="30"/>
          <w:szCs w:val="30"/>
        </w:rPr>
        <w:t xml:space="preserve">от </w:t>
      </w:r>
      <w:r w:rsidRPr="00797DA8">
        <w:rPr>
          <w:rFonts w:ascii="Times New Roman" w:hAnsi="Times New Roman"/>
          <w:sz w:val="30"/>
          <w:szCs w:val="30"/>
        </w:rPr>
        <w:t>общей сумм</w:t>
      </w:r>
      <w:r w:rsidR="00224882" w:rsidRPr="00797DA8">
        <w:rPr>
          <w:rFonts w:ascii="Times New Roman" w:hAnsi="Times New Roman"/>
          <w:sz w:val="30"/>
          <w:szCs w:val="30"/>
        </w:rPr>
        <w:t>ы</w:t>
      </w:r>
      <w:r w:rsidRPr="00797DA8">
        <w:rPr>
          <w:rFonts w:ascii="Times New Roman" w:hAnsi="Times New Roman"/>
          <w:sz w:val="30"/>
          <w:szCs w:val="30"/>
        </w:rPr>
        <w:t xml:space="preserve"> расходов</w:t>
      </w:r>
      <w:r w:rsidR="00224882" w:rsidRPr="00797DA8">
        <w:rPr>
          <w:rFonts w:ascii="Times New Roman" w:hAnsi="Times New Roman"/>
          <w:sz w:val="30"/>
          <w:szCs w:val="30"/>
        </w:rPr>
        <w:t xml:space="preserve"> бюджета</w:t>
      </w:r>
      <w:r w:rsidRPr="00797DA8">
        <w:rPr>
          <w:rFonts w:ascii="Times New Roman" w:hAnsi="Times New Roman"/>
          <w:sz w:val="30"/>
          <w:szCs w:val="30"/>
        </w:rPr>
        <w:t xml:space="preserve"> – это расходы на обеспечение функционирования органов местного управления и самоуправления, государственных архивов </w:t>
      </w:r>
      <w:r w:rsidR="00C625D1" w:rsidRPr="00797DA8">
        <w:rPr>
          <w:rFonts w:ascii="Times New Roman" w:hAnsi="Times New Roman"/>
          <w:sz w:val="30"/>
          <w:szCs w:val="30"/>
        </w:rPr>
        <w:t xml:space="preserve">и иных общегосударственных вопросов. </w:t>
      </w:r>
      <w:r w:rsidR="00224882" w:rsidRPr="00797DA8">
        <w:rPr>
          <w:rFonts w:ascii="Times New Roman" w:hAnsi="Times New Roman"/>
          <w:sz w:val="30"/>
          <w:szCs w:val="30"/>
        </w:rPr>
        <w:t xml:space="preserve">Кроме того, предусмотрены </w:t>
      </w:r>
      <w:r w:rsidRPr="00797DA8">
        <w:rPr>
          <w:rFonts w:ascii="Times New Roman" w:hAnsi="Times New Roman"/>
          <w:sz w:val="30"/>
          <w:szCs w:val="30"/>
        </w:rPr>
        <w:t>резервные фонды, включая фонд финансирования расходов, связанных со стихийными бедствиями, авариями и катастрофами.</w:t>
      </w:r>
    </w:p>
    <w:p w:rsidR="00A701C5" w:rsidRPr="00870F91" w:rsidRDefault="00A701C5" w:rsidP="00CA453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8B6785" w:rsidRPr="00A701C5" w:rsidRDefault="008B6785" w:rsidP="00A701C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701C5">
        <w:rPr>
          <w:rFonts w:ascii="Times New Roman" w:hAnsi="Times New Roman"/>
          <w:b/>
          <w:sz w:val="30"/>
          <w:szCs w:val="30"/>
          <w:u w:val="single"/>
        </w:rPr>
        <w:t>Социальная политика</w:t>
      </w:r>
    </w:p>
    <w:p w:rsidR="008B6785" w:rsidRPr="00A701C5" w:rsidRDefault="008B6785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01C5">
        <w:rPr>
          <w:rFonts w:ascii="Times New Roman" w:hAnsi="Times New Roman"/>
          <w:sz w:val="30"/>
          <w:szCs w:val="30"/>
        </w:rPr>
        <w:t>На социальную политику в 20</w:t>
      </w:r>
      <w:r w:rsidR="00A701C5" w:rsidRPr="00A701C5">
        <w:rPr>
          <w:rFonts w:ascii="Times New Roman" w:hAnsi="Times New Roman"/>
          <w:sz w:val="30"/>
          <w:szCs w:val="30"/>
        </w:rPr>
        <w:t>20</w:t>
      </w:r>
      <w:r w:rsidRPr="00A701C5">
        <w:rPr>
          <w:rFonts w:ascii="Times New Roman" w:hAnsi="Times New Roman"/>
          <w:sz w:val="30"/>
          <w:szCs w:val="30"/>
        </w:rPr>
        <w:t xml:space="preserve"> году в </w:t>
      </w:r>
      <w:r w:rsidR="00F27162" w:rsidRPr="00A701C5">
        <w:rPr>
          <w:rFonts w:ascii="Times New Roman" w:hAnsi="Times New Roman"/>
          <w:sz w:val="30"/>
          <w:szCs w:val="30"/>
        </w:rPr>
        <w:t>районном</w:t>
      </w:r>
      <w:r w:rsidRPr="00A701C5">
        <w:rPr>
          <w:rFonts w:ascii="Times New Roman" w:hAnsi="Times New Roman"/>
          <w:sz w:val="30"/>
          <w:szCs w:val="30"/>
        </w:rPr>
        <w:t xml:space="preserve"> бюджете предусмотрено </w:t>
      </w:r>
      <w:r w:rsidR="00A701C5" w:rsidRPr="00A701C5">
        <w:rPr>
          <w:rFonts w:ascii="Times New Roman" w:hAnsi="Times New Roman"/>
          <w:sz w:val="30"/>
          <w:szCs w:val="30"/>
        </w:rPr>
        <w:t>1 771,1</w:t>
      </w:r>
      <w:r w:rsidR="00004EFA" w:rsidRPr="00A701C5">
        <w:rPr>
          <w:rFonts w:ascii="Times New Roman" w:hAnsi="Times New Roman"/>
          <w:sz w:val="30"/>
          <w:szCs w:val="30"/>
        </w:rPr>
        <w:t xml:space="preserve"> тыс.</w:t>
      </w:r>
      <w:r w:rsidRPr="00A701C5">
        <w:rPr>
          <w:rFonts w:ascii="Times New Roman" w:hAnsi="Times New Roman"/>
          <w:sz w:val="30"/>
          <w:szCs w:val="30"/>
        </w:rPr>
        <w:t xml:space="preserve"> рублей. За счет указанных средств предусматрива</w:t>
      </w:r>
      <w:r w:rsidR="00FC22A9" w:rsidRPr="00A701C5">
        <w:rPr>
          <w:rFonts w:ascii="Times New Roman" w:hAnsi="Times New Roman"/>
          <w:sz w:val="30"/>
          <w:szCs w:val="30"/>
        </w:rPr>
        <w:t>ю</w:t>
      </w:r>
      <w:r w:rsidRPr="00A701C5">
        <w:rPr>
          <w:rFonts w:ascii="Times New Roman" w:hAnsi="Times New Roman"/>
          <w:sz w:val="30"/>
          <w:szCs w:val="30"/>
        </w:rPr>
        <w:t>тся</w:t>
      </w:r>
      <w:r w:rsidR="00FC22A9" w:rsidRPr="00A701C5">
        <w:rPr>
          <w:rFonts w:ascii="Times New Roman" w:hAnsi="Times New Roman"/>
          <w:sz w:val="30"/>
          <w:szCs w:val="30"/>
        </w:rPr>
        <w:t xml:space="preserve"> следующие направления расходов</w:t>
      </w:r>
      <w:r w:rsidRPr="00A701C5">
        <w:rPr>
          <w:rFonts w:ascii="Times New Roman" w:hAnsi="Times New Roman"/>
          <w:sz w:val="30"/>
          <w:szCs w:val="30"/>
        </w:rPr>
        <w:t>:</w:t>
      </w:r>
    </w:p>
    <w:p w:rsidR="00FC22A9" w:rsidRPr="00FA39CF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39CF">
        <w:rPr>
          <w:rFonts w:ascii="Times New Roman" w:hAnsi="Times New Roman"/>
          <w:sz w:val="30"/>
          <w:szCs w:val="30"/>
        </w:rPr>
        <w:t xml:space="preserve">социальная защита – </w:t>
      </w:r>
      <w:r w:rsidR="00FA39CF" w:rsidRPr="00FA39CF">
        <w:rPr>
          <w:rFonts w:ascii="Times New Roman" w:hAnsi="Times New Roman"/>
          <w:sz w:val="30"/>
          <w:szCs w:val="30"/>
        </w:rPr>
        <w:t>1 106,3</w:t>
      </w:r>
      <w:r w:rsidRPr="00FA39CF">
        <w:rPr>
          <w:rFonts w:ascii="Times New Roman" w:hAnsi="Times New Roman"/>
          <w:sz w:val="30"/>
          <w:szCs w:val="30"/>
        </w:rPr>
        <w:t xml:space="preserve"> тыс. рублей</w:t>
      </w:r>
      <w:r w:rsidR="00EC23C8" w:rsidRPr="00FA39CF">
        <w:rPr>
          <w:rFonts w:ascii="Times New Roman" w:hAnsi="Times New Roman"/>
          <w:sz w:val="30"/>
          <w:szCs w:val="30"/>
        </w:rPr>
        <w:t xml:space="preserve"> (на обеспечение функционирования </w:t>
      </w:r>
      <w:r w:rsidR="00F27162" w:rsidRPr="00FA39CF">
        <w:rPr>
          <w:rFonts w:ascii="Times New Roman" w:hAnsi="Times New Roman"/>
          <w:sz w:val="30"/>
          <w:szCs w:val="30"/>
        </w:rPr>
        <w:t xml:space="preserve">территориального центра социального обслуживания населения, </w:t>
      </w:r>
      <w:r w:rsidR="00900B8E" w:rsidRPr="00FA39CF">
        <w:rPr>
          <w:rFonts w:ascii="Times New Roman" w:hAnsi="Times New Roman"/>
          <w:sz w:val="30"/>
          <w:szCs w:val="30"/>
        </w:rPr>
        <w:t xml:space="preserve">а также </w:t>
      </w:r>
      <w:r w:rsidR="00F27162" w:rsidRPr="00FA39CF">
        <w:rPr>
          <w:rFonts w:ascii="Times New Roman" w:hAnsi="Times New Roman"/>
          <w:sz w:val="30"/>
          <w:szCs w:val="30"/>
        </w:rPr>
        <w:t>приемных</w:t>
      </w:r>
      <w:r w:rsidR="00900B8E" w:rsidRPr="00FA39CF">
        <w:rPr>
          <w:rFonts w:ascii="Times New Roman" w:hAnsi="Times New Roman"/>
          <w:sz w:val="30"/>
          <w:szCs w:val="30"/>
        </w:rPr>
        <w:t xml:space="preserve"> и</w:t>
      </w:r>
      <w:r w:rsidR="00F27162" w:rsidRPr="00FA39CF">
        <w:rPr>
          <w:rFonts w:ascii="Times New Roman" w:hAnsi="Times New Roman"/>
          <w:sz w:val="30"/>
          <w:szCs w:val="30"/>
        </w:rPr>
        <w:t xml:space="preserve"> опекунских семей</w:t>
      </w:r>
      <w:r w:rsidR="00900B8E" w:rsidRPr="00FA39CF">
        <w:rPr>
          <w:rFonts w:ascii="Times New Roman" w:hAnsi="Times New Roman"/>
          <w:sz w:val="30"/>
          <w:szCs w:val="30"/>
        </w:rPr>
        <w:t>,</w:t>
      </w:r>
      <w:r w:rsidR="00F27162" w:rsidRPr="00FA39CF">
        <w:rPr>
          <w:rFonts w:ascii="Times New Roman" w:hAnsi="Times New Roman"/>
          <w:sz w:val="30"/>
          <w:szCs w:val="30"/>
        </w:rPr>
        <w:t xml:space="preserve"> домов семейного типа</w:t>
      </w:r>
      <w:r w:rsidR="00900B8E" w:rsidRPr="00FA39CF">
        <w:rPr>
          <w:rFonts w:ascii="Times New Roman" w:hAnsi="Times New Roman"/>
          <w:sz w:val="30"/>
          <w:szCs w:val="30"/>
        </w:rPr>
        <w:t xml:space="preserve"> и обеспечение гарантий по социальной защите детей-сирот и детей, оставшихся без попечения родителей</w:t>
      </w:r>
      <w:r w:rsidR="00EC23C8" w:rsidRPr="00FA39CF">
        <w:rPr>
          <w:rFonts w:ascii="Times New Roman" w:hAnsi="Times New Roman"/>
          <w:sz w:val="30"/>
          <w:szCs w:val="30"/>
        </w:rPr>
        <w:t>)</w:t>
      </w:r>
      <w:r w:rsidRPr="00FA39CF">
        <w:rPr>
          <w:rFonts w:ascii="Times New Roman" w:hAnsi="Times New Roman"/>
          <w:sz w:val="30"/>
          <w:szCs w:val="30"/>
        </w:rPr>
        <w:t>;</w:t>
      </w:r>
    </w:p>
    <w:p w:rsidR="00900B8E" w:rsidRPr="00FA39CF" w:rsidRDefault="00900B8E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39CF">
        <w:rPr>
          <w:rFonts w:ascii="Times New Roman" w:hAnsi="Times New Roman"/>
          <w:sz w:val="30"/>
          <w:szCs w:val="30"/>
        </w:rPr>
        <w:t xml:space="preserve">единовременная выплата семьям при рождении двоих и более детей на приобретение детских вещей первой необходимости – </w:t>
      </w:r>
      <w:r w:rsidR="00FA39CF" w:rsidRPr="00FA39CF">
        <w:rPr>
          <w:rFonts w:ascii="Times New Roman" w:hAnsi="Times New Roman"/>
          <w:sz w:val="30"/>
          <w:szCs w:val="30"/>
        </w:rPr>
        <w:t>3,6</w:t>
      </w:r>
      <w:r w:rsidRPr="00FA39CF">
        <w:rPr>
          <w:rFonts w:ascii="Times New Roman" w:hAnsi="Times New Roman"/>
          <w:sz w:val="30"/>
          <w:szCs w:val="30"/>
        </w:rPr>
        <w:t> тыс. рублей;</w:t>
      </w:r>
    </w:p>
    <w:p w:rsidR="00FC22A9" w:rsidRPr="00FA39CF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39CF">
        <w:rPr>
          <w:rFonts w:ascii="Times New Roman" w:hAnsi="Times New Roman"/>
          <w:sz w:val="30"/>
          <w:szCs w:val="30"/>
        </w:rPr>
        <w:t xml:space="preserve">государственная молодежная политика – </w:t>
      </w:r>
      <w:r w:rsidR="006365EA" w:rsidRPr="00FA39CF">
        <w:rPr>
          <w:rFonts w:ascii="Times New Roman" w:hAnsi="Times New Roman"/>
          <w:sz w:val="30"/>
          <w:szCs w:val="30"/>
        </w:rPr>
        <w:t>2,</w:t>
      </w:r>
      <w:r w:rsidR="00FA39CF" w:rsidRPr="00FA39CF">
        <w:rPr>
          <w:rFonts w:ascii="Times New Roman" w:hAnsi="Times New Roman"/>
          <w:sz w:val="30"/>
          <w:szCs w:val="30"/>
        </w:rPr>
        <w:t>6</w:t>
      </w:r>
      <w:r w:rsidRPr="00FA39CF">
        <w:rPr>
          <w:rFonts w:ascii="Times New Roman" w:hAnsi="Times New Roman"/>
          <w:sz w:val="30"/>
          <w:szCs w:val="30"/>
        </w:rPr>
        <w:t xml:space="preserve"> тыс. рублей;</w:t>
      </w:r>
    </w:p>
    <w:p w:rsidR="00FC22A9" w:rsidRPr="00FA39CF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39CF">
        <w:rPr>
          <w:rFonts w:ascii="Times New Roman" w:hAnsi="Times New Roman"/>
          <w:sz w:val="30"/>
          <w:szCs w:val="30"/>
        </w:rPr>
        <w:t xml:space="preserve">помощь в обеспечении жильем – </w:t>
      </w:r>
      <w:r w:rsidR="006365EA" w:rsidRPr="00FA39CF">
        <w:rPr>
          <w:rFonts w:ascii="Times New Roman" w:hAnsi="Times New Roman"/>
          <w:sz w:val="30"/>
          <w:szCs w:val="30"/>
        </w:rPr>
        <w:t>29,0</w:t>
      </w:r>
      <w:r w:rsidRPr="00FA39CF">
        <w:rPr>
          <w:rFonts w:ascii="Times New Roman" w:hAnsi="Times New Roman"/>
          <w:sz w:val="30"/>
          <w:szCs w:val="30"/>
        </w:rPr>
        <w:t xml:space="preserve"> тыс. рублей;</w:t>
      </w:r>
    </w:p>
    <w:p w:rsidR="00FC22A9" w:rsidRPr="00FA39CF" w:rsidRDefault="00FC22A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39CF">
        <w:rPr>
          <w:rFonts w:ascii="Times New Roman" w:hAnsi="Times New Roman"/>
          <w:sz w:val="30"/>
          <w:szCs w:val="30"/>
        </w:rPr>
        <w:t xml:space="preserve">другие вопросы в области социальной </w:t>
      </w:r>
      <w:r w:rsidR="000D36C2" w:rsidRPr="00FA39CF">
        <w:rPr>
          <w:rFonts w:ascii="Times New Roman" w:hAnsi="Times New Roman"/>
          <w:sz w:val="30"/>
          <w:szCs w:val="30"/>
        </w:rPr>
        <w:t xml:space="preserve">политики – </w:t>
      </w:r>
      <w:r w:rsidR="00FA39CF" w:rsidRPr="00FA39CF">
        <w:rPr>
          <w:rFonts w:ascii="Times New Roman" w:hAnsi="Times New Roman"/>
          <w:sz w:val="30"/>
          <w:szCs w:val="30"/>
        </w:rPr>
        <w:t>629,7</w:t>
      </w:r>
      <w:r w:rsidR="000D36C2" w:rsidRPr="00FA39CF">
        <w:rPr>
          <w:rFonts w:ascii="Times New Roman" w:hAnsi="Times New Roman"/>
          <w:sz w:val="30"/>
          <w:szCs w:val="30"/>
        </w:rPr>
        <w:t xml:space="preserve"> тыс. рублей (</w:t>
      </w:r>
      <w:r w:rsidR="00F27162" w:rsidRPr="00FA39CF">
        <w:rPr>
          <w:rFonts w:ascii="Times New Roman" w:hAnsi="Times New Roman"/>
          <w:sz w:val="30"/>
          <w:szCs w:val="30"/>
        </w:rPr>
        <w:t>предоставление государственной адресной помощи</w:t>
      </w:r>
      <w:r w:rsidR="000D36C2" w:rsidRPr="00FA39CF">
        <w:rPr>
          <w:rFonts w:ascii="Times New Roman" w:hAnsi="Times New Roman"/>
          <w:sz w:val="30"/>
          <w:szCs w:val="30"/>
        </w:rPr>
        <w:t xml:space="preserve">, </w:t>
      </w:r>
      <w:r w:rsidR="000D36C2" w:rsidRPr="00FA39CF">
        <w:rPr>
          <w:rFonts w:ascii="Times New Roman" w:eastAsia="Times New Roman" w:hAnsi="Times New Roman"/>
          <w:sz w:val="30"/>
          <w:szCs w:val="30"/>
        </w:rPr>
        <w:t>удешевление стоимости путевок в лагеря с круглосуточным и дневным пребыванием детей, поддержка ветеранских организаций</w:t>
      </w:r>
      <w:r w:rsidR="00B93185" w:rsidRPr="00FA39CF">
        <w:rPr>
          <w:rFonts w:ascii="Times New Roman" w:eastAsia="Times New Roman" w:hAnsi="Times New Roman"/>
          <w:sz w:val="30"/>
          <w:szCs w:val="30"/>
        </w:rPr>
        <w:t>,</w:t>
      </w:r>
      <w:r w:rsidR="00F27162" w:rsidRPr="00FA39CF">
        <w:rPr>
          <w:rFonts w:ascii="Times New Roman" w:eastAsia="Times New Roman" w:hAnsi="Times New Roman"/>
          <w:sz w:val="30"/>
          <w:szCs w:val="30"/>
        </w:rPr>
        <w:t xml:space="preserve"> возмещение расходов </w:t>
      </w:r>
      <w:r w:rsidR="00900B8E" w:rsidRPr="00FA39CF">
        <w:rPr>
          <w:rFonts w:ascii="Times New Roman" w:eastAsia="Times New Roman" w:hAnsi="Times New Roman"/>
          <w:sz w:val="30"/>
          <w:szCs w:val="30"/>
        </w:rPr>
        <w:t>по</w:t>
      </w:r>
      <w:r w:rsidR="00F27162" w:rsidRPr="00FA39CF">
        <w:rPr>
          <w:rFonts w:ascii="Times New Roman" w:eastAsia="Times New Roman" w:hAnsi="Times New Roman"/>
          <w:sz w:val="30"/>
          <w:szCs w:val="30"/>
        </w:rPr>
        <w:t xml:space="preserve"> найм</w:t>
      </w:r>
      <w:r w:rsidR="00900B8E" w:rsidRPr="00FA39CF">
        <w:rPr>
          <w:rFonts w:ascii="Times New Roman" w:eastAsia="Times New Roman" w:hAnsi="Times New Roman"/>
          <w:sz w:val="30"/>
          <w:szCs w:val="30"/>
        </w:rPr>
        <w:t>у</w:t>
      </w:r>
      <w:r w:rsidR="00F27162" w:rsidRPr="00FA39CF">
        <w:rPr>
          <w:rFonts w:ascii="Times New Roman" w:eastAsia="Times New Roman" w:hAnsi="Times New Roman"/>
          <w:sz w:val="30"/>
          <w:szCs w:val="30"/>
        </w:rPr>
        <w:t xml:space="preserve"> жилья</w:t>
      </w:r>
      <w:r w:rsidR="00900B8E" w:rsidRPr="00FA39CF">
        <w:rPr>
          <w:rFonts w:ascii="Times New Roman" w:eastAsia="Times New Roman" w:hAnsi="Times New Roman"/>
          <w:sz w:val="30"/>
          <w:szCs w:val="30"/>
        </w:rPr>
        <w:t xml:space="preserve"> молодым специалистам</w:t>
      </w:r>
      <w:r w:rsidR="00B93185" w:rsidRPr="00FA39CF">
        <w:rPr>
          <w:rFonts w:ascii="Times New Roman" w:eastAsia="Times New Roman" w:hAnsi="Times New Roman"/>
          <w:sz w:val="30"/>
          <w:szCs w:val="30"/>
        </w:rPr>
        <w:t>).</w:t>
      </w:r>
    </w:p>
    <w:p w:rsidR="00EC23C8" w:rsidRPr="009B2785" w:rsidRDefault="00EC23C8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2785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 w:rsidRPr="009B2785">
        <w:rPr>
          <w:rFonts w:ascii="Times New Roman" w:eastAsia="Times New Roman" w:hAnsi="Times New Roman"/>
          <w:sz w:val="30"/>
          <w:szCs w:val="30"/>
        </w:rPr>
        <w:t xml:space="preserve">Государственной программой о социальной защите и содействии занятости населения на 2016-2020 годы с помощью бюджетного финансирования будет обеспечено повышение эффективности </w:t>
      </w:r>
      <w:r w:rsidR="00900B8E" w:rsidRPr="009B2785">
        <w:rPr>
          <w:rFonts w:ascii="Times New Roman" w:eastAsia="Times New Roman" w:hAnsi="Times New Roman"/>
          <w:sz w:val="30"/>
          <w:szCs w:val="30"/>
        </w:rPr>
        <w:t>социального обслуживания</w:t>
      </w:r>
      <w:r w:rsidRPr="009B2785">
        <w:rPr>
          <w:rFonts w:ascii="Times New Roman" w:eastAsia="Times New Roman" w:hAnsi="Times New Roman"/>
          <w:sz w:val="30"/>
          <w:szCs w:val="30"/>
        </w:rPr>
        <w:t xml:space="preserve"> населения, улучшение условий охраны труда, создание безбарьерной среды жизнедеятельности, обеспечени</w:t>
      </w:r>
      <w:r w:rsidR="000D36C2" w:rsidRPr="009B2785">
        <w:rPr>
          <w:rFonts w:ascii="Times New Roman" w:eastAsia="Times New Roman" w:hAnsi="Times New Roman"/>
          <w:sz w:val="30"/>
          <w:szCs w:val="30"/>
        </w:rPr>
        <w:t>е</w:t>
      </w:r>
      <w:r w:rsidRPr="009B2785">
        <w:rPr>
          <w:rFonts w:ascii="Times New Roman" w:eastAsia="Times New Roman" w:hAnsi="Times New Roman"/>
          <w:sz w:val="30"/>
          <w:szCs w:val="30"/>
        </w:rPr>
        <w:t xml:space="preserve"> социальной интеграции инвалидов и пожилых граждан.</w:t>
      </w:r>
    </w:p>
    <w:p w:rsidR="006902AD" w:rsidRPr="00321997" w:rsidRDefault="006902AD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6902AD" w:rsidRPr="009B2785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B2785">
        <w:rPr>
          <w:rFonts w:ascii="Times New Roman" w:hAnsi="Times New Roman"/>
          <w:b/>
          <w:sz w:val="30"/>
          <w:szCs w:val="30"/>
          <w:u w:val="single"/>
        </w:rPr>
        <w:t>Здравоохранение</w:t>
      </w:r>
    </w:p>
    <w:p w:rsidR="00CC3184" w:rsidRPr="009B2785" w:rsidRDefault="00563873" w:rsidP="00CC31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2785">
        <w:rPr>
          <w:rFonts w:ascii="Times New Roman" w:hAnsi="Times New Roman"/>
          <w:sz w:val="30"/>
          <w:szCs w:val="30"/>
        </w:rPr>
        <w:t>Бюджетное финансирование отрасли «Здравоохранение» в 20</w:t>
      </w:r>
      <w:r w:rsidR="009B2785" w:rsidRPr="009B2785">
        <w:rPr>
          <w:rFonts w:ascii="Times New Roman" w:hAnsi="Times New Roman"/>
          <w:sz w:val="30"/>
          <w:szCs w:val="30"/>
        </w:rPr>
        <w:t>20</w:t>
      </w:r>
      <w:r w:rsidRPr="009B2785">
        <w:rPr>
          <w:rFonts w:ascii="Times New Roman" w:hAnsi="Times New Roman"/>
          <w:sz w:val="30"/>
          <w:szCs w:val="30"/>
        </w:rPr>
        <w:t xml:space="preserve"> году за счет средств </w:t>
      </w:r>
      <w:r w:rsidR="00026D3D" w:rsidRPr="009B2785">
        <w:rPr>
          <w:rFonts w:ascii="Times New Roman" w:hAnsi="Times New Roman"/>
          <w:sz w:val="30"/>
          <w:szCs w:val="30"/>
        </w:rPr>
        <w:t>районного</w:t>
      </w:r>
      <w:r w:rsidRPr="009B2785">
        <w:rPr>
          <w:rFonts w:ascii="Times New Roman" w:hAnsi="Times New Roman"/>
          <w:sz w:val="30"/>
          <w:szCs w:val="30"/>
        </w:rPr>
        <w:t xml:space="preserve"> бюджета составит </w:t>
      </w:r>
      <w:r w:rsidR="009B2785" w:rsidRPr="009B2785">
        <w:rPr>
          <w:rFonts w:ascii="Times New Roman" w:hAnsi="Times New Roman"/>
          <w:sz w:val="30"/>
          <w:szCs w:val="30"/>
        </w:rPr>
        <w:t>8 905,8</w:t>
      </w:r>
      <w:r w:rsidRPr="009B2785">
        <w:rPr>
          <w:rFonts w:ascii="Times New Roman" w:hAnsi="Times New Roman"/>
          <w:sz w:val="30"/>
          <w:szCs w:val="30"/>
        </w:rPr>
        <w:t xml:space="preserve"> тыс. рублей и будет направлено на</w:t>
      </w:r>
      <w:r w:rsidR="0027178D" w:rsidRPr="009B2785">
        <w:rPr>
          <w:rFonts w:ascii="Times New Roman" w:hAnsi="Times New Roman"/>
          <w:sz w:val="30"/>
          <w:szCs w:val="30"/>
        </w:rPr>
        <w:t xml:space="preserve"> </w:t>
      </w:r>
      <w:r w:rsidR="00FC22A9" w:rsidRPr="009B2785">
        <w:rPr>
          <w:rFonts w:ascii="Times New Roman" w:hAnsi="Times New Roman"/>
          <w:sz w:val="30"/>
          <w:szCs w:val="30"/>
        </w:rPr>
        <w:t>м</w:t>
      </w:r>
      <w:r w:rsidR="00353D62" w:rsidRPr="009B2785">
        <w:rPr>
          <w:rFonts w:ascii="Times New Roman" w:hAnsi="Times New Roman"/>
          <w:sz w:val="30"/>
          <w:szCs w:val="30"/>
        </w:rPr>
        <w:t>едицинскую помощь населению</w:t>
      </w:r>
      <w:r w:rsidR="0027178D" w:rsidRPr="009B2785">
        <w:rPr>
          <w:rFonts w:ascii="Times New Roman" w:hAnsi="Times New Roman"/>
          <w:sz w:val="30"/>
          <w:szCs w:val="30"/>
        </w:rPr>
        <w:t>. В приоритетном порядке планируется направлять средства на оказание медицинской помощи в амбулаторных условиях с учетом скорой (неотложной) медицинской помощи в объеме не менее 40,0% от общего объема финансирования расходов на здравоохранение, предусмотренных для соответствующей административно-территориальной единицы.</w:t>
      </w:r>
      <w:r w:rsidR="00CC3184" w:rsidRPr="009B2785">
        <w:rPr>
          <w:rFonts w:ascii="Times New Roman" w:hAnsi="Times New Roman"/>
          <w:sz w:val="30"/>
          <w:szCs w:val="30"/>
        </w:rPr>
        <w:t xml:space="preserve"> Из общей суммы средств, предусмотренных на здравоохранение, планируется направить </w:t>
      </w:r>
      <w:r w:rsidR="009B2785" w:rsidRPr="009B2785">
        <w:rPr>
          <w:rFonts w:ascii="Times New Roman" w:hAnsi="Times New Roman"/>
          <w:sz w:val="30"/>
          <w:szCs w:val="30"/>
        </w:rPr>
        <w:t>40,7</w:t>
      </w:r>
      <w:r w:rsidR="00CC3184" w:rsidRPr="009B2785">
        <w:rPr>
          <w:rFonts w:ascii="Times New Roman" w:hAnsi="Times New Roman"/>
          <w:sz w:val="30"/>
          <w:szCs w:val="30"/>
        </w:rPr>
        <w:t xml:space="preserve"> тыс. рублей на приобретение медицинского оборудования</w:t>
      </w:r>
      <w:r w:rsidR="006365EA" w:rsidRPr="009B2785">
        <w:rPr>
          <w:rFonts w:ascii="Times New Roman" w:hAnsi="Times New Roman"/>
          <w:sz w:val="30"/>
          <w:szCs w:val="30"/>
        </w:rPr>
        <w:t>.</w:t>
      </w:r>
    </w:p>
    <w:p w:rsidR="00EC23C8" w:rsidRPr="009B2785" w:rsidRDefault="00EC23C8" w:rsidP="00CC31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2785">
        <w:rPr>
          <w:rFonts w:ascii="Times New Roman" w:hAnsi="Times New Roman"/>
          <w:sz w:val="30"/>
          <w:szCs w:val="30"/>
        </w:rPr>
        <w:t>Государственной программой «Здоровье народа и демографическая безопасность Республики Беларусь» на 2016-2020 годы важнейшей задачей в настоящее время и на перспективу до 2020 года в сфере здравоохранения определено повышение эффективности системы здравоохранения, повышение качества услуг системы здравоохранения, сокращение уровня смертности, прежде всего в трудоспособном возрасте, создание условий для увеличения ожидаемой продолжительности жизни.</w:t>
      </w:r>
    </w:p>
    <w:p w:rsidR="00563873" w:rsidRDefault="00563873" w:rsidP="00D067DB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6902AD" w:rsidRPr="00464E68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64E68">
        <w:rPr>
          <w:rFonts w:ascii="Times New Roman" w:hAnsi="Times New Roman"/>
          <w:b/>
          <w:sz w:val="30"/>
          <w:szCs w:val="30"/>
          <w:u w:val="single"/>
        </w:rPr>
        <w:t>Образование</w:t>
      </w:r>
    </w:p>
    <w:p w:rsidR="00563873" w:rsidRPr="00464E68" w:rsidRDefault="00563873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E68">
        <w:rPr>
          <w:rFonts w:ascii="Times New Roman" w:hAnsi="Times New Roman"/>
          <w:sz w:val="30"/>
          <w:szCs w:val="30"/>
        </w:rPr>
        <w:t xml:space="preserve">Расходы </w:t>
      </w:r>
      <w:r w:rsidR="005E0784" w:rsidRPr="00464E68">
        <w:rPr>
          <w:rFonts w:ascii="Times New Roman" w:hAnsi="Times New Roman"/>
          <w:sz w:val="30"/>
          <w:szCs w:val="30"/>
        </w:rPr>
        <w:t>районного</w:t>
      </w:r>
      <w:r w:rsidRPr="00464E68">
        <w:rPr>
          <w:rFonts w:ascii="Times New Roman" w:hAnsi="Times New Roman"/>
          <w:sz w:val="30"/>
          <w:szCs w:val="30"/>
        </w:rPr>
        <w:t xml:space="preserve"> бюджета на образование запланированы в сумме </w:t>
      </w:r>
      <w:r w:rsidR="004A5893" w:rsidRPr="00464E68">
        <w:rPr>
          <w:rFonts w:ascii="Times New Roman" w:hAnsi="Times New Roman"/>
          <w:sz w:val="30"/>
          <w:szCs w:val="30"/>
        </w:rPr>
        <w:t>19 006,8</w:t>
      </w:r>
      <w:r w:rsidRPr="00464E68">
        <w:rPr>
          <w:rFonts w:ascii="Times New Roman" w:hAnsi="Times New Roman"/>
          <w:sz w:val="30"/>
          <w:szCs w:val="30"/>
        </w:rPr>
        <w:t xml:space="preserve"> тыс. рублей. В общем объеме средств предусмотрено</w:t>
      </w:r>
      <w:r w:rsidR="00353D62" w:rsidRPr="00464E68">
        <w:rPr>
          <w:rFonts w:ascii="Times New Roman" w:hAnsi="Times New Roman"/>
          <w:sz w:val="30"/>
          <w:szCs w:val="30"/>
        </w:rPr>
        <w:t xml:space="preserve"> на</w:t>
      </w:r>
      <w:r w:rsidRPr="00464E68">
        <w:rPr>
          <w:rFonts w:ascii="Times New Roman" w:hAnsi="Times New Roman"/>
          <w:sz w:val="30"/>
          <w:szCs w:val="30"/>
        </w:rPr>
        <w:t>:</w:t>
      </w:r>
    </w:p>
    <w:p w:rsidR="00353D62" w:rsidRPr="00464E68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E68">
        <w:rPr>
          <w:rFonts w:ascii="Times New Roman" w:hAnsi="Times New Roman"/>
          <w:sz w:val="30"/>
          <w:szCs w:val="30"/>
        </w:rPr>
        <w:t xml:space="preserve">дошкольное образование – </w:t>
      </w:r>
      <w:r w:rsidR="004A5893" w:rsidRPr="00464E68">
        <w:rPr>
          <w:rFonts w:ascii="Times New Roman" w:hAnsi="Times New Roman"/>
          <w:sz w:val="30"/>
          <w:szCs w:val="30"/>
        </w:rPr>
        <w:t>4 645,7</w:t>
      </w:r>
      <w:r w:rsidRPr="00464E68">
        <w:rPr>
          <w:rFonts w:ascii="Times New Roman" w:hAnsi="Times New Roman"/>
          <w:sz w:val="30"/>
          <w:szCs w:val="30"/>
        </w:rPr>
        <w:t xml:space="preserve"> тыс. рублей;</w:t>
      </w:r>
    </w:p>
    <w:p w:rsidR="00353D62" w:rsidRPr="00464E68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E68">
        <w:rPr>
          <w:rFonts w:ascii="Times New Roman" w:hAnsi="Times New Roman"/>
          <w:sz w:val="30"/>
          <w:szCs w:val="30"/>
        </w:rPr>
        <w:t xml:space="preserve">общее среднее образование – </w:t>
      </w:r>
      <w:r w:rsidR="004A5893" w:rsidRPr="00464E68">
        <w:rPr>
          <w:rFonts w:ascii="Times New Roman" w:hAnsi="Times New Roman"/>
          <w:sz w:val="30"/>
          <w:szCs w:val="30"/>
        </w:rPr>
        <w:t>12 606,3</w:t>
      </w:r>
      <w:r w:rsidRPr="00464E68">
        <w:rPr>
          <w:rFonts w:ascii="Times New Roman" w:hAnsi="Times New Roman"/>
          <w:sz w:val="30"/>
          <w:szCs w:val="30"/>
        </w:rPr>
        <w:t xml:space="preserve"> тыс. рублей;</w:t>
      </w:r>
    </w:p>
    <w:p w:rsidR="00353D62" w:rsidRPr="00464E68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E68">
        <w:rPr>
          <w:rFonts w:ascii="Times New Roman" w:hAnsi="Times New Roman"/>
          <w:sz w:val="30"/>
          <w:szCs w:val="30"/>
        </w:rPr>
        <w:t xml:space="preserve">дополнительное образование детей и молодежи – </w:t>
      </w:r>
      <w:r w:rsidR="00464E68" w:rsidRPr="00464E68">
        <w:rPr>
          <w:rFonts w:ascii="Times New Roman" w:hAnsi="Times New Roman"/>
          <w:sz w:val="30"/>
          <w:szCs w:val="30"/>
        </w:rPr>
        <w:t>1 036,9</w:t>
      </w:r>
      <w:r w:rsidRPr="00464E68">
        <w:rPr>
          <w:rFonts w:ascii="Times New Roman" w:hAnsi="Times New Roman"/>
          <w:sz w:val="30"/>
          <w:szCs w:val="30"/>
        </w:rPr>
        <w:t xml:space="preserve"> тыс. рублей;</w:t>
      </w:r>
    </w:p>
    <w:p w:rsidR="00E660B6" w:rsidRPr="00464E68" w:rsidRDefault="00353D62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E68">
        <w:rPr>
          <w:rFonts w:ascii="Times New Roman" w:hAnsi="Times New Roman"/>
          <w:sz w:val="30"/>
          <w:szCs w:val="30"/>
        </w:rPr>
        <w:t xml:space="preserve">другие вопросы в области образования – </w:t>
      </w:r>
      <w:r w:rsidR="00464E68" w:rsidRPr="00464E68">
        <w:rPr>
          <w:rFonts w:ascii="Times New Roman" w:hAnsi="Times New Roman"/>
          <w:sz w:val="30"/>
          <w:szCs w:val="30"/>
        </w:rPr>
        <w:t>717,9</w:t>
      </w:r>
      <w:r w:rsidRPr="00464E68">
        <w:rPr>
          <w:rFonts w:ascii="Times New Roman" w:hAnsi="Times New Roman"/>
          <w:sz w:val="30"/>
          <w:szCs w:val="30"/>
        </w:rPr>
        <w:t xml:space="preserve"> тыс. рублей</w:t>
      </w:r>
      <w:r w:rsidR="00E660B6" w:rsidRPr="00464E68">
        <w:rPr>
          <w:rFonts w:ascii="Times New Roman" w:hAnsi="Times New Roman"/>
          <w:sz w:val="30"/>
          <w:szCs w:val="30"/>
        </w:rPr>
        <w:t>.</w:t>
      </w:r>
    </w:p>
    <w:p w:rsidR="00353D62" w:rsidRPr="00464E68" w:rsidRDefault="00E660B6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E68">
        <w:rPr>
          <w:rFonts w:ascii="Times New Roman" w:hAnsi="Times New Roman"/>
          <w:sz w:val="30"/>
          <w:szCs w:val="30"/>
        </w:rPr>
        <w:t>В 20</w:t>
      </w:r>
      <w:r w:rsidR="00464E68" w:rsidRPr="00464E68">
        <w:rPr>
          <w:rFonts w:ascii="Times New Roman" w:hAnsi="Times New Roman"/>
          <w:sz w:val="30"/>
          <w:szCs w:val="30"/>
        </w:rPr>
        <w:t>20</w:t>
      </w:r>
      <w:r w:rsidRPr="00464E68">
        <w:rPr>
          <w:rFonts w:ascii="Times New Roman" w:hAnsi="Times New Roman"/>
          <w:sz w:val="30"/>
          <w:szCs w:val="30"/>
        </w:rPr>
        <w:t xml:space="preserve"> году предусмотрены средства</w:t>
      </w:r>
      <w:r w:rsidR="009A4102" w:rsidRPr="00464E68">
        <w:rPr>
          <w:rFonts w:ascii="Times New Roman" w:hAnsi="Times New Roman"/>
          <w:sz w:val="30"/>
          <w:szCs w:val="30"/>
        </w:rPr>
        <w:t xml:space="preserve"> на выполнение работ по </w:t>
      </w:r>
      <w:r w:rsidR="00CA0849" w:rsidRPr="00464E68">
        <w:rPr>
          <w:rFonts w:ascii="Times New Roman" w:hAnsi="Times New Roman"/>
          <w:sz w:val="30"/>
          <w:szCs w:val="30"/>
        </w:rPr>
        <w:t>текущему и капитальному</w:t>
      </w:r>
      <w:r w:rsidR="009A4102" w:rsidRPr="00464E68">
        <w:rPr>
          <w:rFonts w:ascii="Times New Roman" w:hAnsi="Times New Roman"/>
          <w:sz w:val="30"/>
          <w:szCs w:val="30"/>
        </w:rPr>
        <w:t xml:space="preserve"> ремонт</w:t>
      </w:r>
      <w:r w:rsidR="00CA0849" w:rsidRPr="00464E68">
        <w:rPr>
          <w:rFonts w:ascii="Times New Roman" w:hAnsi="Times New Roman"/>
          <w:sz w:val="30"/>
          <w:szCs w:val="30"/>
        </w:rPr>
        <w:t>ам</w:t>
      </w:r>
      <w:r w:rsidR="009A4102" w:rsidRPr="00464E68">
        <w:rPr>
          <w:rFonts w:ascii="Times New Roman" w:hAnsi="Times New Roman"/>
          <w:sz w:val="30"/>
          <w:szCs w:val="30"/>
        </w:rPr>
        <w:t xml:space="preserve"> </w:t>
      </w:r>
      <w:r w:rsidR="00CA0849" w:rsidRPr="00464E68">
        <w:rPr>
          <w:rFonts w:ascii="Times New Roman" w:hAnsi="Times New Roman"/>
          <w:sz w:val="30"/>
          <w:szCs w:val="30"/>
        </w:rPr>
        <w:t xml:space="preserve">учреждений образование в сумме </w:t>
      </w:r>
      <w:r w:rsidR="00464E68" w:rsidRPr="00464E68">
        <w:rPr>
          <w:rFonts w:ascii="Times New Roman" w:hAnsi="Times New Roman"/>
          <w:sz w:val="30"/>
          <w:szCs w:val="30"/>
        </w:rPr>
        <w:t>282,1</w:t>
      </w:r>
      <w:r w:rsidR="00CA0849" w:rsidRPr="00464E68">
        <w:rPr>
          <w:rFonts w:ascii="Times New Roman" w:hAnsi="Times New Roman"/>
          <w:sz w:val="30"/>
          <w:szCs w:val="30"/>
        </w:rPr>
        <w:t xml:space="preserve"> тыс. рублей.</w:t>
      </w:r>
    </w:p>
    <w:p w:rsidR="00EC23C8" w:rsidRPr="00464E68" w:rsidRDefault="00EC23C8" w:rsidP="00D067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464E68">
        <w:rPr>
          <w:rFonts w:ascii="Times New Roman" w:eastAsiaTheme="minorHAnsi" w:hAnsi="Times New Roman"/>
          <w:sz w:val="30"/>
          <w:szCs w:val="30"/>
        </w:rPr>
        <w:t>Целями государственной программы «Образование и молодежная политика» на 2016-2020 годы определены повышение качества и доступности образования в соответствии с потребностями инновационной экономики, требованиями информационного общества, образовательными запросами граждан, развитие потенциала молодежи и ее вовлечение в общественно полезную деятельность.</w:t>
      </w:r>
    </w:p>
    <w:p w:rsidR="009A3849" w:rsidRPr="00321997" w:rsidRDefault="009A384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6902AD" w:rsidRPr="00FF488F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FF488F">
        <w:rPr>
          <w:rFonts w:ascii="Times New Roman" w:hAnsi="Times New Roman"/>
          <w:b/>
          <w:sz w:val="30"/>
          <w:szCs w:val="30"/>
          <w:u w:val="single"/>
        </w:rPr>
        <w:t xml:space="preserve">Культура </w:t>
      </w:r>
    </w:p>
    <w:p w:rsidR="00EC23C8" w:rsidRPr="00FF488F" w:rsidRDefault="00372EDA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F488F">
        <w:rPr>
          <w:rFonts w:ascii="Times New Roman" w:hAnsi="Times New Roman"/>
          <w:sz w:val="30"/>
          <w:szCs w:val="30"/>
        </w:rPr>
        <w:t xml:space="preserve">В </w:t>
      </w:r>
      <w:r w:rsidR="00A36638" w:rsidRPr="00FF488F">
        <w:rPr>
          <w:rFonts w:ascii="Times New Roman" w:hAnsi="Times New Roman"/>
          <w:sz w:val="30"/>
          <w:szCs w:val="30"/>
        </w:rPr>
        <w:t>районном</w:t>
      </w:r>
      <w:r w:rsidRPr="00FF488F">
        <w:rPr>
          <w:rFonts w:ascii="Times New Roman" w:hAnsi="Times New Roman"/>
          <w:sz w:val="30"/>
          <w:szCs w:val="30"/>
        </w:rPr>
        <w:t xml:space="preserve"> бюджете на финансирование расходов в сфере культуры предусмотрено </w:t>
      </w:r>
      <w:r w:rsidR="00FF488F" w:rsidRPr="00FF488F">
        <w:rPr>
          <w:rFonts w:ascii="Times New Roman" w:hAnsi="Times New Roman"/>
          <w:sz w:val="30"/>
          <w:szCs w:val="30"/>
        </w:rPr>
        <w:t>2 311,3</w:t>
      </w:r>
      <w:r w:rsidR="00EC23C8" w:rsidRPr="00FF488F">
        <w:rPr>
          <w:rFonts w:ascii="Times New Roman" w:hAnsi="Times New Roman"/>
          <w:sz w:val="30"/>
          <w:szCs w:val="30"/>
        </w:rPr>
        <w:t xml:space="preserve"> тыс. рублей. </w:t>
      </w:r>
      <w:r w:rsidR="00EC23C8" w:rsidRPr="00FF488F">
        <w:rPr>
          <w:rFonts w:ascii="Times New Roman" w:eastAsia="Times New Roman" w:hAnsi="Times New Roman"/>
          <w:sz w:val="30"/>
          <w:szCs w:val="30"/>
          <w:lang w:eastAsia="ru-RU"/>
        </w:rPr>
        <w:t>Данн</w:t>
      </w:r>
      <w:r w:rsidR="001A55BB" w:rsidRPr="00FF488F">
        <w:rPr>
          <w:rFonts w:ascii="Times New Roman" w:eastAsia="Times New Roman" w:hAnsi="Times New Roman"/>
          <w:sz w:val="30"/>
          <w:szCs w:val="30"/>
          <w:lang w:eastAsia="ru-RU"/>
        </w:rPr>
        <w:t xml:space="preserve">ые средства будут направлены на </w:t>
      </w:r>
      <w:r w:rsidR="00EC23C8" w:rsidRPr="00FF488F">
        <w:rPr>
          <w:rFonts w:ascii="Times New Roman" w:eastAsia="Times New Roman" w:hAnsi="Times New Roman"/>
          <w:sz w:val="30"/>
          <w:szCs w:val="30"/>
          <w:lang w:eastAsia="ru-RU"/>
        </w:rPr>
        <w:t xml:space="preserve">содержание учреждений культуры </w:t>
      </w:r>
      <w:r w:rsidR="00762132" w:rsidRPr="00FF488F">
        <w:rPr>
          <w:rFonts w:ascii="Times New Roman" w:eastAsia="Times New Roman" w:hAnsi="Times New Roman"/>
          <w:sz w:val="30"/>
          <w:szCs w:val="30"/>
          <w:lang w:eastAsia="ru-RU"/>
        </w:rPr>
        <w:t>районной</w:t>
      </w:r>
      <w:r w:rsidR="00EC23C8" w:rsidRPr="00FF488F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формы собственности</w:t>
      </w:r>
      <w:r w:rsidR="001A55BB" w:rsidRPr="00FF488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EC23C8" w:rsidRPr="00FF488F">
        <w:rPr>
          <w:rFonts w:ascii="Times New Roman" w:eastAsia="Times New Roman" w:hAnsi="Times New Roman"/>
          <w:sz w:val="30"/>
          <w:szCs w:val="30"/>
          <w:lang w:eastAsia="ru-RU"/>
        </w:rPr>
        <w:t>проведение конкурсов, выставок, фестивалей и других мероприятий в сфере культуры</w:t>
      </w:r>
      <w:r w:rsidR="001A55BB" w:rsidRPr="00FF488F">
        <w:rPr>
          <w:rFonts w:ascii="Times New Roman" w:eastAsia="Times New Roman" w:hAnsi="Times New Roman"/>
          <w:sz w:val="30"/>
          <w:szCs w:val="30"/>
          <w:lang w:eastAsia="ru-RU"/>
        </w:rPr>
        <w:t xml:space="preserve"> и некоторые другие расходы</w:t>
      </w:r>
      <w:r w:rsidR="00EC23C8" w:rsidRPr="00FF488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C23C8" w:rsidRPr="00FF488F" w:rsidRDefault="00EC23C8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F488F">
        <w:rPr>
          <w:rFonts w:ascii="Times New Roman" w:eastAsia="Times New Roman" w:hAnsi="Times New Roman"/>
          <w:sz w:val="30"/>
          <w:szCs w:val="30"/>
          <w:lang w:eastAsia="ru-RU"/>
        </w:rPr>
        <w:t>В пределах указанных средств будут реализовываться соответствующие мероприятия Государственной программы «Культура Беларуси» на 2016-2020 годы». Реализация данной программы направлена на повышение доступности, качества и разнообразия культурных продуктов и услуг, обеспечение сохранности историко-культурных ценностей, поддержку развития всех видов искусств и творчества, народных художественных ремесел.</w:t>
      </w:r>
    </w:p>
    <w:p w:rsidR="00EC23C8" w:rsidRPr="00321997" w:rsidRDefault="00EC23C8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6902AD" w:rsidRPr="00956E1F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56E1F">
        <w:rPr>
          <w:rFonts w:ascii="Times New Roman" w:hAnsi="Times New Roman"/>
          <w:b/>
          <w:sz w:val="30"/>
          <w:szCs w:val="30"/>
          <w:u w:val="single"/>
        </w:rPr>
        <w:t>Физическая культура и спорт</w:t>
      </w:r>
    </w:p>
    <w:p w:rsidR="00EC23C8" w:rsidRPr="00956E1F" w:rsidRDefault="00372EDA" w:rsidP="00D067DB">
      <w:pPr>
        <w:spacing w:after="0" w:line="240" w:lineRule="auto"/>
        <w:ind w:firstLine="709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56E1F">
        <w:rPr>
          <w:rFonts w:ascii="Times New Roman" w:hAnsi="Times New Roman"/>
          <w:sz w:val="30"/>
          <w:szCs w:val="30"/>
        </w:rPr>
        <w:t xml:space="preserve">Расходы на физическую культуру и спорт запланированы в сумме </w:t>
      </w:r>
      <w:r w:rsidR="00956E1F" w:rsidRPr="00956E1F">
        <w:rPr>
          <w:rFonts w:ascii="Times New Roman" w:hAnsi="Times New Roman"/>
          <w:sz w:val="30"/>
          <w:szCs w:val="30"/>
        </w:rPr>
        <w:t>951,6</w:t>
      </w:r>
      <w:r w:rsidRPr="00956E1F">
        <w:rPr>
          <w:rFonts w:ascii="Times New Roman" w:hAnsi="Times New Roman"/>
          <w:sz w:val="30"/>
          <w:szCs w:val="30"/>
        </w:rPr>
        <w:t xml:space="preserve"> тыс. рублей. </w:t>
      </w:r>
      <w:r w:rsidR="00EC23C8"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>Данные расходы позволяют обеспечить:</w:t>
      </w:r>
    </w:p>
    <w:p w:rsidR="00EC23C8" w:rsidRPr="00956E1F" w:rsidRDefault="00EC23C8" w:rsidP="00D0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– </w:t>
      </w:r>
      <w:r w:rsidRPr="00956E1F">
        <w:rPr>
          <w:rFonts w:ascii="Times New Roman" w:hAnsi="Times New Roman"/>
          <w:sz w:val="30"/>
          <w:szCs w:val="30"/>
        </w:rPr>
        <w:t xml:space="preserve">проведение </w:t>
      </w:r>
      <w:r w:rsidR="00B701EC" w:rsidRPr="00956E1F">
        <w:rPr>
          <w:rFonts w:ascii="Times New Roman" w:hAnsi="Times New Roman"/>
          <w:sz w:val="30"/>
          <w:szCs w:val="30"/>
        </w:rPr>
        <w:t>районных</w:t>
      </w:r>
      <w:r w:rsidRPr="00956E1F">
        <w:rPr>
          <w:rFonts w:ascii="Times New Roman" w:hAnsi="Times New Roman"/>
          <w:sz w:val="30"/>
          <w:szCs w:val="30"/>
        </w:rPr>
        <w:t xml:space="preserve"> спортивных, спортивно-массовых мероприятий, физкультурно-оздоровительной и спортивно-массовой работы с населением, </w:t>
      </w:r>
      <w:r w:rsidR="00B701EC" w:rsidRPr="00956E1F">
        <w:rPr>
          <w:rFonts w:ascii="Times New Roman" w:hAnsi="Times New Roman"/>
          <w:sz w:val="30"/>
          <w:szCs w:val="30"/>
        </w:rPr>
        <w:t>участие в областных и</w:t>
      </w:r>
      <w:r w:rsidRPr="00956E1F">
        <w:rPr>
          <w:rFonts w:ascii="Times New Roman" w:hAnsi="Times New Roman"/>
          <w:sz w:val="30"/>
          <w:szCs w:val="30"/>
        </w:rPr>
        <w:t xml:space="preserve"> республикански</w:t>
      </w:r>
      <w:r w:rsidR="00B701EC" w:rsidRPr="00956E1F">
        <w:rPr>
          <w:rFonts w:ascii="Times New Roman" w:hAnsi="Times New Roman"/>
          <w:sz w:val="30"/>
          <w:szCs w:val="30"/>
        </w:rPr>
        <w:t>х</w:t>
      </w:r>
      <w:r w:rsidRPr="00956E1F">
        <w:rPr>
          <w:rFonts w:ascii="Times New Roman" w:hAnsi="Times New Roman"/>
          <w:sz w:val="30"/>
          <w:szCs w:val="30"/>
        </w:rPr>
        <w:t xml:space="preserve"> спортивны</w:t>
      </w:r>
      <w:r w:rsidR="00B701EC" w:rsidRPr="00956E1F">
        <w:rPr>
          <w:rFonts w:ascii="Times New Roman" w:hAnsi="Times New Roman"/>
          <w:sz w:val="30"/>
          <w:szCs w:val="30"/>
        </w:rPr>
        <w:t>х</w:t>
      </w:r>
      <w:r w:rsidRPr="00956E1F">
        <w:rPr>
          <w:rFonts w:ascii="Times New Roman" w:hAnsi="Times New Roman"/>
          <w:sz w:val="30"/>
          <w:szCs w:val="30"/>
        </w:rPr>
        <w:t>, спортивно-массовы</w:t>
      </w:r>
      <w:r w:rsidR="00B701EC" w:rsidRPr="00956E1F">
        <w:rPr>
          <w:rFonts w:ascii="Times New Roman" w:hAnsi="Times New Roman"/>
          <w:sz w:val="30"/>
          <w:szCs w:val="30"/>
        </w:rPr>
        <w:t>х</w:t>
      </w:r>
      <w:r w:rsidRPr="00956E1F">
        <w:rPr>
          <w:rFonts w:ascii="Times New Roman" w:hAnsi="Times New Roman"/>
          <w:sz w:val="30"/>
          <w:szCs w:val="30"/>
        </w:rPr>
        <w:t xml:space="preserve"> мероприятия</w:t>
      </w:r>
      <w:r w:rsidR="00B701EC" w:rsidRPr="00956E1F">
        <w:rPr>
          <w:rFonts w:ascii="Times New Roman" w:hAnsi="Times New Roman"/>
          <w:sz w:val="30"/>
          <w:szCs w:val="30"/>
        </w:rPr>
        <w:t>х</w:t>
      </w:r>
      <w:r w:rsidRPr="00956E1F">
        <w:rPr>
          <w:rFonts w:ascii="Times New Roman" w:hAnsi="Times New Roman"/>
          <w:sz w:val="30"/>
          <w:szCs w:val="30"/>
        </w:rPr>
        <w:t>;</w:t>
      </w:r>
    </w:p>
    <w:p w:rsidR="00EC23C8" w:rsidRPr="00956E1F" w:rsidRDefault="00EC23C8" w:rsidP="00D0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>– ф</w:t>
      </w:r>
      <w:r w:rsidR="00362FCA"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>ункционирование специализированного</w:t>
      </w:r>
      <w:r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учебно-спортивн</w:t>
      </w:r>
      <w:r w:rsidR="00362FCA"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>ого</w:t>
      </w:r>
      <w:r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учреждени</w:t>
      </w:r>
      <w:r w:rsidR="00362FCA"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</w:t>
      </w:r>
      <w:r w:rsidRPr="00956E1F">
        <w:rPr>
          <w:rFonts w:ascii="Times New Roman" w:hAnsi="Times New Roman"/>
          <w:sz w:val="30"/>
          <w:szCs w:val="30"/>
        </w:rPr>
        <w:t>других государственных организаций физической культуры и спорта</w:t>
      </w:r>
      <w:r w:rsidR="00362FCA" w:rsidRPr="00956E1F">
        <w:rPr>
          <w:rFonts w:ascii="Times New Roman" w:hAnsi="Times New Roman"/>
          <w:sz w:val="30"/>
          <w:szCs w:val="30"/>
        </w:rPr>
        <w:t>.</w:t>
      </w:r>
    </w:p>
    <w:p w:rsidR="00EC23C8" w:rsidRPr="00956E1F" w:rsidRDefault="00EC23C8" w:rsidP="00D06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56E1F">
        <w:rPr>
          <w:rFonts w:ascii="Times New Roman" w:eastAsia="Times New Roman" w:hAnsi="Times New Roman"/>
          <w:bCs/>
          <w:sz w:val="30"/>
          <w:szCs w:val="30"/>
          <w:lang w:eastAsia="ru-RU"/>
        </w:rPr>
        <w:t>Выполнение Регионального комплекса мероприятий по реализации Государственной программы развития физической культуры и спорта в Республике Беларусь на 2016 – 2020 годы направлено на закрепление позитивной динамики в сферах оздоровления населения, развития физической культуры в учреждениях образования, детско-юношеского спорта, подготовки спортивного резерва сборных команд по видам спорта.</w:t>
      </w:r>
    </w:p>
    <w:p w:rsidR="009A3849" w:rsidRPr="00321997" w:rsidRDefault="009A3849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6902AD" w:rsidRPr="000428D3" w:rsidRDefault="00D444CE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0428D3">
        <w:rPr>
          <w:rFonts w:ascii="Times New Roman" w:hAnsi="Times New Roman"/>
          <w:b/>
          <w:sz w:val="30"/>
          <w:szCs w:val="30"/>
          <w:u w:val="single"/>
        </w:rPr>
        <w:t>Жилищно-коммунальные услуги и ж</w:t>
      </w:r>
      <w:r w:rsidR="006902AD" w:rsidRPr="000428D3">
        <w:rPr>
          <w:rFonts w:ascii="Times New Roman" w:hAnsi="Times New Roman"/>
          <w:b/>
          <w:sz w:val="30"/>
          <w:szCs w:val="30"/>
          <w:u w:val="single"/>
        </w:rPr>
        <w:t>илищное строительство</w:t>
      </w:r>
    </w:p>
    <w:p w:rsidR="006902AD" w:rsidRPr="000428D3" w:rsidRDefault="00D444CE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28D3">
        <w:rPr>
          <w:rFonts w:ascii="Times New Roman" w:hAnsi="Times New Roman"/>
          <w:sz w:val="30"/>
          <w:szCs w:val="30"/>
        </w:rPr>
        <w:t xml:space="preserve">Расходы бюджета </w:t>
      </w:r>
      <w:r w:rsidR="00C91BCF" w:rsidRPr="000428D3">
        <w:rPr>
          <w:rFonts w:ascii="Times New Roman" w:hAnsi="Times New Roman"/>
          <w:sz w:val="30"/>
          <w:szCs w:val="30"/>
        </w:rPr>
        <w:t>района</w:t>
      </w:r>
      <w:r w:rsidRPr="000428D3">
        <w:rPr>
          <w:rFonts w:ascii="Times New Roman" w:hAnsi="Times New Roman"/>
          <w:sz w:val="30"/>
          <w:szCs w:val="30"/>
        </w:rPr>
        <w:t xml:space="preserve"> жилищно-коммунальные услуги и жилищное строительство </w:t>
      </w:r>
      <w:r w:rsidR="00200EBD" w:rsidRPr="000428D3">
        <w:rPr>
          <w:rFonts w:ascii="Times New Roman" w:hAnsi="Times New Roman"/>
          <w:sz w:val="30"/>
          <w:szCs w:val="30"/>
        </w:rPr>
        <w:t xml:space="preserve">запланированы </w:t>
      </w:r>
      <w:r w:rsidRPr="000428D3">
        <w:rPr>
          <w:rFonts w:ascii="Times New Roman" w:hAnsi="Times New Roman"/>
          <w:sz w:val="30"/>
          <w:szCs w:val="30"/>
        </w:rPr>
        <w:t xml:space="preserve">в сумме </w:t>
      </w:r>
      <w:r w:rsidR="000428D3" w:rsidRPr="000428D3">
        <w:rPr>
          <w:rFonts w:ascii="Times New Roman" w:hAnsi="Times New Roman"/>
          <w:sz w:val="30"/>
          <w:szCs w:val="30"/>
        </w:rPr>
        <w:t>4 324,8</w:t>
      </w:r>
      <w:r w:rsidRPr="000428D3">
        <w:rPr>
          <w:rFonts w:ascii="Times New Roman" w:hAnsi="Times New Roman"/>
          <w:sz w:val="30"/>
          <w:szCs w:val="30"/>
        </w:rPr>
        <w:t xml:space="preserve"> тыс. рублей</w:t>
      </w:r>
      <w:r w:rsidR="00F44E8B">
        <w:rPr>
          <w:rFonts w:ascii="Times New Roman" w:hAnsi="Times New Roman"/>
          <w:sz w:val="30"/>
          <w:szCs w:val="30"/>
        </w:rPr>
        <w:t xml:space="preserve"> и занимают 10,4% всех расходов консолидированного бюджета</w:t>
      </w:r>
      <w:r w:rsidR="00FC22A9" w:rsidRPr="000428D3">
        <w:rPr>
          <w:rFonts w:ascii="Times New Roman" w:hAnsi="Times New Roman"/>
          <w:sz w:val="30"/>
          <w:szCs w:val="30"/>
        </w:rPr>
        <w:t>.</w:t>
      </w:r>
    </w:p>
    <w:p w:rsidR="00FC22A9" w:rsidRPr="000428D3" w:rsidRDefault="00FC22A9" w:rsidP="00761F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428D3">
        <w:rPr>
          <w:rFonts w:ascii="Times New Roman" w:hAnsi="Times New Roman"/>
          <w:sz w:val="30"/>
          <w:szCs w:val="30"/>
        </w:rPr>
        <w:t xml:space="preserve">На </w:t>
      </w:r>
      <w:r w:rsidRPr="000428D3">
        <w:rPr>
          <w:rFonts w:ascii="Times New Roman" w:hAnsi="Times New Roman"/>
          <w:b/>
          <w:sz w:val="30"/>
          <w:szCs w:val="30"/>
        </w:rPr>
        <w:t>жилищное строительство</w:t>
      </w:r>
      <w:r w:rsidRPr="000428D3">
        <w:rPr>
          <w:rFonts w:ascii="Times New Roman" w:hAnsi="Times New Roman"/>
          <w:sz w:val="30"/>
          <w:szCs w:val="30"/>
        </w:rPr>
        <w:t xml:space="preserve"> </w:t>
      </w:r>
      <w:r w:rsidR="006E1BE1" w:rsidRPr="000428D3">
        <w:rPr>
          <w:rFonts w:ascii="Times New Roman" w:hAnsi="Times New Roman"/>
          <w:sz w:val="30"/>
          <w:szCs w:val="30"/>
        </w:rPr>
        <w:t xml:space="preserve">предусмотрено </w:t>
      </w:r>
      <w:r w:rsidR="000428D3" w:rsidRPr="000428D3">
        <w:rPr>
          <w:rFonts w:ascii="Times New Roman" w:hAnsi="Times New Roman"/>
          <w:sz w:val="30"/>
          <w:szCs w:val="30"/>
        </w:rPr>
        <w:t>78,9</w:t>
      </w:r>
      <w:r w:rsidRPr="000428D3">
        <w:rPr>
          <w:rFonts w:ascii="Times New Roman" w:hAnsi="Times New Roman"/>
          <w:sz w:val="30"/>
          <w:szCs w:val="30"/>
        </w:rPr>
        <w:t xml:space="preserve"> тыс. рублей</w:t>
      </w:r>
      <w:r w:rsidR="006E1BE1" w:rsidRPr="000428D3">
        <w:rPr>
          <w:rFonts w:ascii="Times New Roman" w:hAnsi="Times New Roman"/>
          <w:sz w:val="30"/>
          <w:szCs w:val="30"/>
        </w:rPr>
        <w:t>,</w:t>
      </w:r>
      <w:r w:rsidR="006E1BE1" w:rsidRPr="000428D3">
        <w:rPr>
          <w:rFonts w:ascii="Times New Roman" w:eastAsia="Times New Roman" w:hAnsi="Times New Roman"/>
          <w:sz w:val="30"/>
          <w:szCs w:val="30"/>
          <w:lang w:eastAsia="ru-RU"/>
        </w:rPr>
        <w:t xml:space="preserve"> которые планируется направить на проектирование, строительство (реконструкцию) объектов инженерной и транспортной инфраструктуры для районов жилой застройки</w:t>
      </w:r>
      <w:r w:rsidR="00CA0849" w:rsidRPr="000428D3">
        <w:rPr>
          <w:rFonts w:ascii="Times New Roman" w:eastAsia="Times New Roman" w:hAnsi="Times New Roman"/>
          <w:sz w:val="30"/>
          <w:szCs w:val="30"/>
          <w:lang w:eastAsia="ru-RU"/>
        </w:rPr>
        <w:t>, а также</w:t>
      </w:r>
      <w:r w:rsidR="00761F1C" w:rsidRPr="000428D3">
        <w:rPr>
          <w:rFonts w:ascii="Times New Roman" w:hAnsi="Times New Roman"/>
          <w:sz w:val="30"/>
          <w:szCs w:val="30"/>
        </w:rPr>
        <w:t xml:space="preserve"> финансирование расходов по уплате процентов по кредитам, полученным сельскохозяйственными организациями в ОАО «Белагропромбанк» на строительство или приобретение жилых домов.</w:t>
      </w:r>
    </w:p>
    <w:p w:rsidR="004A2476" w:rsidRDefault="00C91BCF" w:rsidP="004A247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428D3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0428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жилищно-коммунальное </w:t>
      </w:r>
      <w:r w:rsidRPr="004A2476">
        <w:rPr>
          <w:rFonts w:ascii="Times New Roman" w:eastAsia="Times New Roman" w:hAnsi="Times New Roman"/>
          <w:b/>
          <w:sz w:val="30"/>
          <w:szCs w:val="30"/>
          <w:lang w:eastAsia="ru-RU"/>
        </w:rPr>
        <w:t>хозяйство</w:t>
      </w:r>
      <w:r w:rsidR="004A2476" w:rsidRPr="004A2476">
        <w:rPr>
          <w:rFonts w:ascii="Times New Roman" w:hAnsi="Times New Roman"/>
          <w:sz w:val="30"/>
          <w:szCs w:val="30"/>
        </w:rPr>
        <w:t xml:space="preserve"> в 2020 году</w:t>
      </w:r>
      <w:r w:rsidRPr="004A2476">
        <w:rPr>
          <w:rFonts w:ascii="Times New Roman" w:eastAsia="Times New Roman" w:hAnsi="Times New Roman"/>
          <w:sz w:val="30"/>
          <w:szCs w:val="30"/>
          <w:lang w:eastAsia="ru-RU"/>
        </w:rPr>
        <w:t xml:space="preserve"> запланировано направить </w:t>
      </w:r>
      <w:r w:rsidR="000428D3" w:rsidRPr="004A2476">
        <w:rPr>
          <w:rFonts w:ascii="Times New Roman" w:eastAsia="Times New Roman" w:hAnsi="Times New Roman"/>
          <w:sz w:val="30"/>
          <w:szCs w:val="30"/>
          <w:lang w:eastAsia="ru-RU"/>
        </w:rPr>
        <w:t>3 363,9</w:t>
      </w:r>
      <w:r w:rsidRPr="004A2476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рублей.</w:t>
      </w:r>
      <w:r w:rsidR="004A2476" w:rsidRPr="004A2476">
        <w:rPr>
          <w:rFonts w:ascii="Times New Roman" w:hAnsi="Times New Roman"/>
          <w:sz w:val="30"/>
          <w:szCs w:val="30"/>
        </w:rPr>
        <w:t xml:space="preserve"> Значительные средства бюджета направляются организациям ЖКХ на предоставление льгот отдельным категориям граждан и удешевление стоимости жилищно-коммунальных услуг, оказываемых населению. На указанные цели запланировано 2 981,1 тыс. рублей или 88,6% всех расходов, предусмотренных на жилищно-коммунальное хозяйство.</w:t>
      </w:r>
    </w:p>
    <w:p w:rsidR="00FC159F" w:rsidRPr="000428D3" w:rsidRDefault="00FC159F" w:rsidP="00D067D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428D3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Pr="000428D3">
        <w:rPr>
          <w:rFonts w:ascii="Times New Roman" w:eastAsia="Times New Roman" w:hAnsi="Times New Roman"/>
          <w:b/>
          <w:sz w:val="30"/>
          <w:szCs w:val="30"/>
          <w:lang w:eastAsia="ru-RU"/>
        </w:rPr>
        <w:t>благоустройство</w:t>
      </w:r>
      <w:r w:rsidRPr="000428D3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населенных пунктов предусмотрено </w:t>
      </w:r>
      <w:r w:rsidR="000428D3" w:rsidRPr="000428D3">
        <w:rPr>
          <w:rFonts w:ascii="Times New Roman" w:eastAsia="Times New Roman" w:hAnsi="Times New Roman"/>
          <w:sz w:val="30"/>
          <w:szCs w:val="30"/>
          <w:lang w:eastAsia="ru-RU"/>
        </w:rPr>
        <w:t>836,6</w:t>
      </w:r>
      <w:r w:rsidRPr="000428D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 </w:t>
      </w:r>
      <w:r w:rsidRPr="000428D3">
        <w:rPr>
          <w:rFonts w:ascii="Times New Roman" w:eastAsia="Times New Roman" w:hAnsi="Times New Roman"/>
          <w:b/>
          <w:sz w:val="30"/>
          <w:szCs w:val="30"/>
          <w:lang w:eastAsia="ru-RU"/>
        </w:rPr>
        <w:t>другие вопросы</w:t>
      </w:r>
      <w:r w:rsidRPr="000428D3">
        <w:rPr>
          <w:rFonts w:ascii="Times New Roman" w:eastAsia="Times New Roman" w:hAnsi="Times New Roman"/>
          <w:sz w:val="30"/>
          <w:szCs w:val="30"/>
          <w:lang w:eastAsia="ru-RU"/>
        </w:rPr>
        <w:t xml:space="preserve"> в области жилищно-коммунальных услуг – </w:t>
      </w:r>
      <w:r w:rsidR="000428D3" w:rsidRPr="000428D3">
        <w:rPr>
          <w:rFonts w:ascii="Times New Roman" w:eastAsia="Times New Roman" w:hAnsi="Times New Roman"/>
          <w:sz w:val="30"/>
          <w:szCs w:val="30"/>
          <w:lang w:eastAsia="ru-RU"/>
        </w:rPr>
        <w:t>45,4</w:t>
      </w:r>
      <w:r w:rsidRPr="000428D3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рублей.</w:t>
      </w:r>
    </w:p>
    <w:p w:rsidR="00D444CE" w:rsidRPr="00321997" w:rsidRDefault="00D444CE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highlight w:val="yellow"/>
          <w:u w:val="single"/>
        </w:rPr>
      </w:pPr>
    </w:p>
    <w:p w:rsidR="006902AD" w:rsidRPr="002A1C1C" w:rsidRDefault="006902AD" w:rsidP="00D06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2A1C1C">
        <w:rPr>
          <w:rFonts w:ascii="Times New Roman" w:hAnsi="Times New Roman"/>
          <w:b/>
          <w:sz w:val="30"/>
          <w:szCs w:val="30"/>
          <w:u w:val="single"/>
        </w:rPr>
        <w:t>Расходы на национальную экономику</w:t>
      </w:r>
    </w:p>
    <w:p w:rsidR="00B25678" w:rsidRPr="002A1C1C" w:rsidRDefault="003B518B" w:rsidP="00B256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1C1C">
        <w:rPr>
          <w:rFonts w:ascii="Times New Roman" w:hAnsi="Times New Roman"/>
          <w:sz w:val="30"/>
          <w:szCs w:val="30"/>
        </w:rPr>
        <w:t>Значительная часть средств будет направлена в 20</w:t>
      </w:r>
      <w:r w:rsidR="00B25678" w:rsidRPr="002A1C1C">
        <w:rPr>
          <w:rFonts w:ascii="Times New Roman" w:hAnsi="Times New Roman"/>
          <w:sz w:val="30"/>
          <w:szCs w:val="30"/>
        </w:rPr>
        <w:t>20</w:t>
      </w:r>
      <w:r w:rsidRPr="002A1C1C">
        <w:rPr>
          <w:rFonts w:ascii="Times New Roman" w:hAnsi="Times New Roman"/>
          <w:sz w:val="30"/>
          <w:szCs w:val="30"/>
        </w:rPr>
        <w:t xml:space="preserve"> году на финансирование отраслей </w:t>
      </w:r>
      <w:r w:rsidRPr="002A1C1C">
        <w:rPr>
          <w:rFonts w:ascii="Times New Roman" w:hAnsi="Times New Roman"/>
          <w:b/>
          <w:sz w:val="30"/>
          <w:szCs w:val="30"/>
        </w:rPr>
        <w:t>национальной экономики</w:t>
      </w:r>
      <w:r w:rsidRPr="002A1C1C">
        <w:rPr>
          <w:rFonts w:ascii="Times New Roman" w:hAnsi="Times New Roman"/>
          <w:sz w:val="30"/>
          <w:szCs w:val="30"/>
        </w:rPr>
        <w:t xml:space="preserve"> – </w:t>
      </w:r>
      <w:r w:rsidR="004A2476" w:rsidRPr="002A1C1C">
        <w:rPr>
          <w:rFonts w:ascii="Times New Roman" w:hAnsi="Times New Roman"/>
          <w:sz w:val="30"/>
          <w:szCs w:val="30"/>
        </w:rPr>
        <w:t>1 458,7</w:t>
      </w:r>
      <w:r w:rsidRPr="002A1C1C">
        <w:rPr>
          <w:rFonts w:ascii="Times New Roman" w:hAnsi="Times New Roman"/>
          <w:sz w:val="30"/>
          <w:szCs w:val="30"/>
        </w:rPr>
        <w:t xml:space="preserve"> тыс. рублей</w:t>
      </w:r>
      <w:r w:rsidR="004A2476" w:rsidRPr="002A1C1C">
        <w:rPr>
          <w:rFonts w:ascii="Times New Roman" w:hAnsi="Times New Roman"/>
          <w:sz w:val="30"/>
          <w:szCs w:val="30"/>
        </w:rPr>
        <w:t xml:space="preserve"> или 3,5% всех расходов консолидированного бюджета района</w:t>
      </w:r>
      <w:r w:rsidRPr="002A1C1C">
        <w:rPr>
          <w:rFonts w:ascii="Times New Roman" w:hAnsi="Times New Roman"/>
          <w:sz w:val="30"/>
          <w:szCs w:val="30"/>
        </w:rPr>
        <w:t xml:space="preserve">. </w:t>
      </w:r>
      <w:r w:rsidR="00B25678" w:rsidRPr="002A1C1C">
        <w:rPr>
          <w:rFonts w:ascii="Times New Roman" w:hAnsi="Times New Roman"/>
          <w:sz w:val="30"/>
          <w:szCs w:val="30"/>
        </w:rPr>
        <w:t>В рамках</w:t>
      </w:r>
      <w:r w:rsidR="00D72AA8" w:rsidRPr="002A1C1C">
        <w:rPr>
          <w:rFonts w:ascii="Times New Roman" w:hAnsi="Times New Roman"/>
          <w:sz w:val="30"/>
          <w:szCs w:val="30"/>
        </w:rPr>
        <w:t xml:space="preserve"> данных</w:t>
      </w:r>
      <w:r w:rsidR="00B25678" w:rsidRPr="002A1C1C">
        <w:rPr>
          <w:rFonts w:ascii="Times New Roman" w:hAnsi="Times New Roman"/>
          <w:sz w:val="30"/>
          <w:szCs w:val="30"/>
        </w:rPr>
        <w:t xml:space="preserve"> расходов финансируются сельское хозяйство, транспорт, топливо и энергетика, бытовое обслуживание.</w:t>
      </w:r>
    </w:p>
    <w:p w:rsidR="003B518B" w:rsidRPr="002A1C1C" w:rsidRDefault="003B518B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1C1C">
        <w:rPr>
          <w:rFonts w:ascii="Times New Roman" w:hAnsi="Times New Roman"/>
          <w:sz w:val="30"/>
          <w:szCs w:val="30"/>
        </w:rPr>
        <w:t xml:space="preserve">В общем объеме средств на финансирование национальной экономики расходы на </w:t>
      </w:r>
      <w:r w:rsidRPr="002A1C1C">
        <w:rPr>
          <w:rFonts w:ascii="Times New Roman" w:hAnsi="Times New Roman"/>
          <w:b/>
          <w:sz w:val="30"/>
          <w:szCs w:val="30"/>
        </w:rPr>
        <w:t>сельское хозяйство</w:t>
      </w:r>
      <w:r w:rsidRPr="002A1C1C">
        <w:rPr>
          <w:rFonts w:ascii="Times New Roman" w:hAnsi="Times New Roman"/>
          <w:sz w:val="30"/>
          <w:szCs w:val="30"/>
        </w:rPr>
        <w:t xml:space="preserve"> запланированы в сумме </w:t>
      </w:r>
      <w:r w:rsidR="002A1C1C" w:rsidRPr="002A1C1C">
        <w:rPr>
          <w:rFonts w:ascii="Times New Roman" w:hAnsi="Times New Roman"/>
          <w:sz w:val="30"/>
          <w:szCs w:val="30"/>
        </w:rPr>
        <w:t>1 167,4</w:t>
      </w:r>
      <w:r w:rsidRPr="002A1C1C">
        <w:rPr>
          <w:rFonts w:ascii="Times New Roman" w:hAnsi="Times New Roman"/>
          <w:sz w:val="30"/>
          <w:szCs w:val="30"/>
        </w:rPr>
        <w:t xml:space="preserve"> тыс. рублей, </w:t>
      </w:r>
      <w:r w:rsidRPr="002A1C1C">
        <w:rPr>
          <w:rFonts w:ascii="Times New Roman" w:hAnsi="Times New Roman"/>
          <w:b/>
          <w:sz w:val="30"/>
          <w:szCs w:val="30"/>
        </w:rPr>
        <w:t>транспорт</w:t>
      </w:r>
      <w:r w:rsidRPr="002A1C1C">
        <w:rPr>
          <w:rFonts w:ascii="Times New Roman" w:hAnsi="Times New Roman"/>
          <w:sz w:val="30"/>
          <w:szCs w:val="30"/>
        </w:rPr>
        <w:t xml:space="preserve"> – </w:t>
      </w:r>
      <w:r w:rsidR="002A1C1C" w:rsidRPr="002A1C1C">
        <w:rPr>
          <w:rFonts w:ascii="Times New Roman" w:hAnsi="Times New Roman"/>
          <w:sz w:val="30"/>
          <w:szCs w:val="30"/>
        </w:rPr>
        <w:t>185</w:t>
      </w:r>
      <w:r w:rsidR="00F74631" w:rsidRPr="002A1C1C">
        <w:rPr>
          <w:rFonts w:ascii="Times New Roman" w:hAnsi="Times New Roman"/>
          <w:sz w:val="30"/>
          <w:szCs w:val="30"/>
        </w:rPr>
        <w:t>,9</w:t>
      </w:r>
      <w:r w:rsidRPr="002A1C1C">
        <w:rPr>
          <w:rFonts w:ascii="Times New Roman" w:hAnsi="Times New Roman"/>
          <w:sz w:val="30"/>
          <w:szCs w:val="30"/>
        </w:rPr>
        <w:t xml:space="preserve"> тыс. рублей, </w:t>
      </w:r>
      <w:r w:rsidR="007217BE" w:rsidRPr="002A1C1C">
        <w:rPr>
          <w:rFonts w:ascii="Times New Roman" w:hAnsi="Times New Roman"/>
          <w:b/>
          <w:sz w:val="30"/>
          <w:szCs w:val="30"/>
        </w:rPr>
        <w:t>топливо и энергетику</w:t>
      </w:r>
      <w:r w:rsidR="00EE3AD3" w:rsidRPr="002A1C1C">
        <w:rPr>
          <w:rFonts w:ascii="Times New Roman" w:hAnsi="Times New Roman"/>
          <w:sz w:val="30"/>
          <w:szCs w:val="30"/>
        </w:rPr>
        <w:t xml:space="preserve"> – </w:t>
      </w:r>
      <w:r w:rsidR="002A1C1C" w:rsidRPr="002A1C1C">
        <w:rPr>
          <w:rFonts w:ascii="Times New Roman" w:hAnsi="Times New Roman"/>
          <w:sz w:val="30"/>
          <w:szCs w:val="30"/>
        </w:rPr>
        <w:t>73,9</w:t>
      </w:r>
      <w:r w:rsidR="00EE3AD3" w:rsidRPr="002A1C1C">
        <w:rPr>
          <w:rFonts w:ascii="Times New Roman" w:hAnsi="Times New Roman"/>
          <w:sz w:val="30"/>
          <w:szCs w:val="30"/>
        </w:rPr>
        <w:t xml:space="preserve"> тыс. рублей</w:t>
      </w:r>
      <w:r w:rsidR="007217BE" w:rsidRPr="002A1C1C">
        <w:rPr>
          <w:rFonts w:ascii="Times New Roman" w:hAnsi="Times New Roman"/>
          <w:sz w:val="30"/>
          <w:szCs w:val="30"/>
        </w:rPr>
        <w:t xml:space="preserve">, </w:t>
      </w:r>
      <w:r w:rsidR="007217BE" w:rsidRPr="002A1C1C">
        <w:rPr>
          <w:rFonts w:ascii="Times New Roman" w:hAnsi="Times New Roman"/>
          <w:b/>
          <w:sz w:val="30"/>
          <w:szCs w:val="30"/>
        </w:rPr>
        <w:t>другую деятельность в области национальной экономики</w:t>
      </w:r>
      <w:r w:rsidR="007217BE" w:rsidRPr="002A1C1C">
        <w:rPr>
          <w:rFonts w:ascii="Times New Roman" w:hAnsi="Times New Roman"/>
          <w:sz w:val="30"/>
          <w:szCs w:val="30"/>
        </w:rPr>
        <w:t xml:space="preserve"> – </w:t>
      </w:r>
      <w:r w:rsidR="00F74631" w:rsidRPr="002A1C1C">
        <w:rPr>
          <w:rFonts w:ascii="Times New Roman" w:hAnsi="Times New Roman"/>
          <w:sz w:val="30"/>
          <w:szCs w:val="30"/>
        </w:rPr>
        <w:t>31,</w:t>
      </w:r>
      <w:r w:rsidR="002A1C1C" w:rsidRPr="002A1C1C">
        <w:rPr>
          <w:rFonts w:ascii="Times New Roman" w:hAnsi="Times New Roman"/>
          <w:sz w:val="30"/>
          <w:szCs w:val="30"/>
        </w:rPr>
        <w:t>5</w:t>
      </w:r>
      <w:r w:rsidR="007217BE" w:rsidRPr="002A1C1C">
        <w:rPr>
          <w:rFonts w:ascii="Times New Roman" w:hAnsi="Times New Roman"/>
          <w:sz w:val="30"/>
          <w:szCs w:val="30"/>
        </w:rPr>
        <w:t xml:space="preserve"> тыс. рублей</w:t>
      </w:r>
      <w:r w:rsidR="00EE3AD3" w:rsidRPr="002A1C1C">
        <w:rPr>
          <w:rFonts w:ascii="Times New Roman" w:hAnsi="Times New Roman"/>
          <w:sz w:val="30"/>
          <w:szCs w:val="30"/>
        </w:rPr>
        <w:t>.</w:t>
      </w:r>
    </w:p>
    <w:p w:rsidR="006A39D3" w:rsidRPr="00321997" w:rsidRDefault="006A39D3" w:rsidP="003F68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p w:rsidR="006902AD" w:rsidRPr="009777E9" w:rsidRDefault="00200EBD" w:rsidP="00DD70D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777E9">
        <w:rPr>
          <w:rFonts w:ascii="Times New Roman" w:hAnsi="Times New Roman"/>
          <w:b/>
          <w:sz w:val="30"/>
          <w:szCs w:val="30"/>
        </w:rPr>
        <w:t xml:space="preserve">БЮДЖЕТЫ </w:t>
      </w:r>
      <w:r w:rsidR="00DD70D8" w:rsidRPr="009777E9">
        <w:rPr>
          <w:rFonts w:ascii="Times New Roman" w:hAnsi="Times New Roman"/>
          <w:b/>
          <w:sz w:val="30"/>
          <w:szCs w:val="30"/>
        </w:rPr>
        <w:t>СЕЛЬСКИХ СОВЕТОВ</w:t>
      </w:r>
    </w:p>
    <w:p w:rsidR="00F43309" w:rsidRPr="009777E9" w:rsidRDefault="00E617C0" w:rsidP="00D067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777E9">
        <w:rPr>
          <w:rFonts w:ascii="Times New Roman" w:hAnsi="Times New Roman"/>
          <w:sz w:val="30"/>
          <w:szCs w:val="30"/>
        </w:rPr>
        <w:t>Б</w:t>
      </w:r>
      <w:r w:rsidR="00200EBD" w:rsidRPr="009777E9">
        <w:rPr>
          <w:rFonts w:ascii="Times New Roman" w:hAnsi="Times New Roman"/>
          <w:sz w:val="30"/>
          <w:szCs w:val="30"/>
        </w:rPr>
        <w:t xml:space="preserve">юджеты </w:t>
      </w:r>
      <w:r w:rsidRPr="009777E9">
        <w:rPr>
          <w:rFonts w:ascii="Times New Roman" w:hAnsi="Times New Roman"/>
          <w:sz w:val="30"/>
          <w:szCs w:val="30"/>
        </w:rPr>
        <w:t>сельских Советов</w:t>
      </w:r>
      <w:r w:rsidR="00200EBD" w:rsidRPr="009777E9">
        <w:rPr>
          <w:rFonts w:ascii="Times New Roman" w:hAnsi="Times New Roman"/>
          <w:sz w:val="30"/>
          <w:szCs w:val="30"/>
        </w:rPr>
        <w:t xml:space="preserve">, утвержденные местными Советами депутатов, сформированы </w:t>
      </w:r>
      <w:r w:rsidR="006A2D8A" w:rsidRPr="009777E9">
        <w:rPr>
          <w:rFonts w:ascii="Times New Roman" w:hAnsi="Times New Roman"/>
          <w:sz w:val="30"/>
          <w:szCs w:val="30"/>
        </w:rPr>
        <w:t xml:space="preserve">бездефицитными </w:t>
      </w:r>
      <w:r w:rsidR="00200EBD" w:rsidRPr="009777E9">
        <w:rPr>
          <w:rFonts w:ascii="Times New Roman" w:hAnsi="Times New Roman"/>
          <w:sz w:val="30"/>
          <w:szCs w:val="30"/>
        </w:rPr>
        <w:t>по доходам</w:t>
      </w:r>
      <w:r w:rsidR="006A2D8A" w:rsidRPr="009777E9">
        <w:rPr>
          <w:rFonts w:ascii="Times New Roman" w:hAnsi="Times New Roman"/>
          <w:sz w:val="30"/>
          <w:szCs w:val="30"/>
        </w:rPr>
        <w:t xml:space="preserve"> и расходам</w:t>
      </w:r>
      <w:r w:rsidR="00200EBD" w:rsidRPr="009777E9">
        <w:rPr>
          <w:rFonts w:ascii="Times New Roman" w:hAnsi="Times New Roman"/>
          <w:sz w:val="30"/>
          <w:szCs w:val="30"/>
        </w:rPr>
        <w:t xml:space="preserve"> в общей сумме</w:t>
      </w:r>
      <w:r w:rsidR="00F43309" w:rsidRPr="009777E9">
        <w:rPr>
          <w:rFonts w:ascii="Times New Roman" w:hAnsi="Times New Roman"/>
          <w:sz w:val="30"/>
          <w:szCs w:val="30"/>
        </w:rPr>
        <w:t xml:space="preserve"> </w:t>
      </w:r>
      <w:r w:rsidR="009777E9" w:rsidRPr="009777E9">
        <w:rPr>
          <w:rFonts w:ascii="Times New Roman" w:hAnsi="Times New Roman"/>
          <w:sz w:val="30"/>
          <w:szCs w:val="30"/>
        </w:rPr>
        <w:t>754,9</w:t>
      </w:r>
      <w:r w:rsidR="00200EBD" w:rsidRPr="009777E9">
        <w:rPr>
          <w:rFonts w:ascii="Times New Roman" w:hAnsi="Times New Roman"/>
          <w:sz w:val="30"/>
          <w:szCs w:val="30"/>
        </w:rPr>
        <w:t xml:space="preserve"> тыс. рублей.</w:t>
      </w:r>
    </w:p>
    <w:p w:rsidR="005B2974" w:rsidRPr="008A7247" w:rsidRDefault="005B2974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A7247">
        <w:rPr>
          <w:rFonts w:ascii="Times New Roman" w:hAnsi="Times New Roman"/>
          <w:sz w:val="30"/>
          <w:szCs w:val="30"/>
        </w:rPr>
        <w:t xml:space="preserve">Доходы </w:t>
      </w:r>
      <w:r w:rsidR="006A2D8A" w:rsidRPr="008A7247">
        <w:rPr>
          <w:rFonts w:ascii="Times New Roman" w:hAnsi="Times New Roman"/>
          <w:sz w:val="30"/>
          <w:szCs w:val="30"/>
        </w:rPr>
        <w:t xml:space="preserve">сельских </w:t>
      </w:r>
      <w:r w:rsidRPr="008A7247">
        <w:rPr>
          <w:rFonts w:ascii="Times New Roman" w:hAnsi="Times New Roman"/>
          <w:sz w:val="30"/>
          <w:szCs w:val="30"/>
        </w:rPr>
        <w:t>бюджетов формируются за счет</w:t>
      </w:r>
      <w:r w:rsidR="00E63659" w:rsidRPr="008A7247">
        <w:rPr>
          <w:rFonts w:ascii="Times New Roman" w:hAnsi="Times New Roman"/>
          <w:sz w:val="30"/>
          <w:szCs w:val="30"/>
        </w:rPr>
        <w:t xml:space="preserve"> собственных доходов (</w:t>
      </w:r>
      <w:r w:rsidRPr="008A7247">
        <w:rPr>
          <w:rFonts w:ascii="Times New Roman" w:hAnsi="Times New Roman"/>
          <w:sz w:val="30"/>
          <w:szCs w:val="30"/>
        </w:rPr>
        <w:t>налогов, сборов (пошлин), неналоговых доходов</w:t>
      </w:r>
      <w:r w:rsidR="00E63659" w:rsidRPr="008A7247">
        <w:rPr>
          <w:rFonts w:ascii="Times New Roman" w:hAnsi="Times New Roman"/>
          <w:sz w:val="30"/>
          <w:szCs w:val="30"/>
        </w:rPr>
        <w:t xml:space="preserve">), удельный вес в общей сумме доходов составляет </w:t>
      </w:r>
      <w:r w:rsidR="009777E9" w:rsidRPr="008A7247">
        <w:rPr>
          <w:rFonts w:ascii="Times New Roman" w:hAnsi="Times New Roman"/>
          <w:sz w:val="30"/>
          <w:szCs w:val="30"/>
        </w:rPr>
        <w:t>56,6</w:t>
      </w:r>
      <w:r w:rsidR="00E63659" w:rsidRPr="008A7247">
        <w:rPr>
          <w:rFonts w:ascii="Times New Roman" w:hAnsi="Times New Roman"/>
          <w:sz w:val="30"/>
          <w:szCs w:val="30"/>
        </w:rPr>
        <w:t xml:space="preserve">% </w:t>
      </w:r>
      <w:r w:rsidRPr="008A7247">
        <w:rPr>
          <w:rFonts w:ascii="Times New Roman" w:hAnsi="Times New Roman"/>
          <w:sz w:val="30"/>
          <w:szCs w:val="30"/>
        </w:rPr>
        <w:t>и средств, получаемых из вышестоящего бюджета в виде дотаций</w:t>
      </w:r>
      <w:r w:rsidR="00E63659" w:rsidRPr="008A7247">
        <w:rPr>
          <w:rFonts w:ascii="Times New Roman" w:hAnsi="Times New Roman"/>
          <w:sz w:val="30"/>
          <w:szCs w:val="30"/>
        </w:rPr>
        <w:t xml:space="preserve"> – </w:t>
      </w:r>
      <w:r w:rsidR="00F74631" w:rsidRPr="008A7247">
        <w:rPr>
          <w:rFonts w:ascii="Times New Roman" w:hAnsi="Times New Roman"/>
          <w:sz w:val="30"/>
          <w:szCs w:val="30"/>
        </w:rPr>
        <w:t>4</w:t>
      </w:r>
      <w:r w:rsidR="009777E9" w:rsidRPr="008A7247">
        <w:rPr>
          <w:rFonts w:ascii="Times New Roman" w:hAnsi="Times New Roman"/>
          <w:sz w:val="30"/>
          <w:szCs w:val="30"/>
        </w:rPr>
        <w:t>3</w:t>
      </w:r>
      <w:r w:rsidR="00F74631" w:rsidRPr="008A7247">
        <w:rPr>
          <w:rFonts w:ascii="Times New Roman" w:hAnsi="Times New Roman"/>
          <w:sz w:val="30"/>
          <w:szCs w:val="30"/>
        </w:rPr>
        <w:t>,</w:t>
      </w:r>
      <w:r w:rsidR="009777E9" w:rsidRPr="008A7247">
        <w:rPr>
          <w:rFonts w:ascii="Times New Roman" w:hAnsi="Times New Roman"/>
          <w:sz w:val="30"/>
          <w:szCs w:val="30"/>
        </w:rPr>
        <w:t>4</w:t>
      </w:r>
      <w:r w:rsidR="00E63659" w:rsidRPr="008A7247">
        <w:rPr>
          <w:rFonts w:ascii="Times New Roman" w:hAnsi="Times New Roman"/>
          <w:sz w:val="30"/>
          <w:szCs w:val="30"/>
        </w:rPr>
        <w:t>%</w:t>
      </w:r>
      <w:r w:rsidRPr="008A7247">
        <w:rPr>
          <w:rFonts w:ascii="Times New Roman" w:hAnsi="Times New Roman"/>
          <w:sz w:val="30"/>
          <w:szCs w:val="30"/>
        </w:rPr>
        <w:t>.</w:t>
      </w:r>
    </w:p>
    <w:p w:rsidR="005B2974" w:rsidRPr="000B6ECD" w:rsidRDefault="005B2974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6ECD">
        <w:rPr>
          <w:rFonts w:ascii="Times New Roman" w:hAnsi="Times New Roman"/>
          <w:sz w:val="30"/>
          <w:szCs w:val="30"/>
        </w:rPr>
        <w:t>Основными источниками формирования собственных доходов</w:t>
      </w:r>
      <w:r w:rsidR="006A2D8A" w:rsidRPr="000B6ECD">
        <w:rPr>
          <w:rFonts w:ascii="Times New Roman" w:hAnsi="Times New Roman"/>
          <w:sz w:val="30"/>
          <w:szCs w:val="30"/>
        </w:rPr>
        <w:t xml:space="preserve"> сельских </w:t>
      </w:r>
      <w:r w:rsidRPr="000B6ECD">
        <w:rPr>
          <w:rFonts w:ascii="Times New Roman" w:hAnsi="Times New Roman"/>
          <w:sz w:val="30"/>
          <w:szCs w:val="30"/>
        </w:rPr>
        <w:t>бюджетов являются подоходный налог с физических лиц, налоги на собственность</w:t>
      </w:r>
      <w:r w:rsidR="006A2D8A" w:rsidRPr="000B6ECD">
        <w:rPr>
          <w:rFonts w:ascii="Times New Roman" w:hAnsi="Times New Roman"/>
          <w:sz w:val="30"/>
          <w:szCs w:val="30"/>
        </w:rPr>
        <w:t xml:space="preserve"> и неналоговые доходы.</w:t>
      </w:r>
    </w:p>
    <w:p w:rsidR="005B2974" w:rsidRPr="00D067DB" w:rsidRDefault="002E1330" w:rsidP="00D067D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6ECD">
        <w:rPr>
          <w:rFonts w:ascii="Times New Roman" w:hAnsi="Times New Roman"/>
          <w:sz w:val="30"/>
          <w:szCs w:val="30"/>
        </w:rPr>
        <w:t xml:space="preserve">В </w:t>
      </w:r>
      <w:r w:rsidR="00AA1B7A" w:rsidRPr="000B6ECD">
        <w:rPr>
          <w:rFonts w:ascii="Times New Roman" w:hAnsi="Times New Roman"/>
          <w:sz w:val="30"/>
          <w:szCs w:val="30"/>
        </w:rPr>
        <w:t xml:space="preserve">своде </w:t>
      </w:r>
      <w:r w:rsidR="006A2D8A" w:rsidRPr="000B6ECD">
        <w:rPr>
          <w:rFonts w:ascii="Times New Roman" w:hAnsi="Times New Roman"/>
          <w:sz w:val="30"/>
          <w:szCs w:val="30"/>
        </w:rPr>
        <w:t xml:space="preserve">сельских </w:t>
      </w:r>
      <w:r w:rsidRPr="000B6ECD">
        <w:rPr>
          <w:rFonts w:ascii="Times New Roman" w:hAnsi="Times New Roman"/>
          <w:sz w:val="30"/>
          <w:szCs w:val="30"/>
        </w:rPr>
        <w:t xml:space="preserve">бюджетов </w:t>
      </w:r>
      <w:r w:rsidR="00AA1B7A" w:rsidRPr="000B6ECD">
        <w:rPr>
          <w:rFonts w:ascii="Times New Roman" w:hAnsi="Times New Roman"/>
          <w:sz w:val="30"/>
          <w:szCs w:val="30"/>
        </w:rPr>
        <w:t xml:space="preserve">в целом </w:t>
      </w:r>
      <w:r w:rsidRPr="000B6ECD">
        <w:rPr>
          <w:rFonts w:ascii="Times New Roman" w:hAnsi="Times New Roman"/>
          <w:sz w:val="30"/>
          <w:szCs w:val="30"/>
        </w:rPr>
        <w:t xml:space="preserve">запланированы </w:t>
      </w:r>
      <w:r w:rsidR="00AA1B7A" w:rsidRPr="000B6ECD">
        <w:rPr>
          <w:rFonts w:ascii="Times New Roman" w:hAnsi="Times New Roman"/>
          <w:sz w:val="30"/>
          <w:szCs w:val="30"/>
        </w:rPr>
        <w:t xml:space="preserve">расходы </w:t>
      </w:r>
      <w:r w:rsidRPr="000B6ECD">
        <w:rPr>
          <w:rFonts w:ascii="Times New Roman" w:hAnsi="Times New Roman"/>
          <w:sz w:val="30"/>
          <w:szCs w:val="30"/>
        </w:rPr>
        <w:t xml:space="preserve">на финансирование </w:t>
      </w:r>
      <w:r w:rsidR="006A2D8A" w:rsidRPr="000B6ECD">
        <w:rPr>
          <w:rFonts w:ascii="Times New Roman" w:hAnsi="Times New Roman"/>
          <w:sz w:val="30"/>
          <w:szCs w:val="30"/>
        </w:rPr>
        <w:t xml:space="preserve">общегосударственной деятельности в сумме </w:t>
      </w:r>
      <w:r w:rsidR="000B6ECD" w:rsidRPr="000B6ECD">
        <w:rPr>
          <w:rFonts w:ascii="Times New Roman" w:hAnsi="Times New Roman"/>
          <w:sz w:val="30"/>
          <w:szCs w:val="30"/>
        </w:rPr>
        <w:t>650,1</w:t>
      </w:r>
      <w:r w:rsidR="006A2D8A" w:rsidRPr="000B6ECD">
        <w:rPr>
          <w:rFonts w:ascii="Times New Roman" w:hAnsi="Times New Roman"/>
          <w:sz w:val="30"/>
          <w:szCs w:val="30"/>
        </w:rPr>
        <w:t xml:space="preserve"> тыс. рублей,</w:t>
      </w:r>
      <w:r w:rsidR="006D2DC7" w:rsidRPr="000B6ECD">
        <w:rPr>
          <w:rFonts w:ascii="Times New Roman" w:hAnsi="Times New Roman"/>
          <w:sz w:val="30"/>
          <w:szCs w:val="30"/>
        </w:rPr>
        <w:t xml:space="preserve"> благоустройства и уличного освещения сельских населенных пунктов – </w:t>
      </w:r>
      <w:r w:rsidR="008A7247" w:rsidRPr="000B6ECD">
        <w:rPr>
          <w:rFonts w:ascii="Times New Roman" w:hAnsi="Times New Roman"/>
          <w:sz w:val="30"/>
          <w:szCs w:val="30"/>
        </w:rPr>
        <w:t>104,8</w:t>
      </w:r>
      <w:r w:rsidR="006D2DC7" w:rsidRPr="000B6ECD">
        <w:rPr>
          <w:rFonts w:ascii="Times New Roman" w:hAnsi="Times New Roman"/>
          <w:sz w:val="30"/>
          <w:szCs w:val="30"/>
        </w:rPr>
        <w:t xml:space="preserve"> тыс. рублей.</w:t>
      </w:r>
    </w:p>
    <w:p w:rsidR="00513A28" w:rsidRDefault="00513A28" w:rsidP="00513A28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13A28" w:rsidRPr="00513A28" w:rsidRDefault="00513A28" w:rsidP="00513A28">
      <w:pPr>
        <w:spacing w:after="0" w:line="280" w:lineRule="exact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13A28">
        <w:rPr>
          <w:rFonts w:ascii="Times New Roman" w:eastAsia="Times New Roman" w:hAnsi="Times New Roman"/>
          <w:b/>
          <w:sz w:val="30"/>
          <w:szCs w:val="30"/>
          <w:lang w:eastAsia="ru-RU"/>
        </w:rPr>
        <w:t>РАСЧЕТНЫЕ ПОКАЗАТЕЛИ</w:t>
      </w:r>
    </w:p>
    <w:p w:rsidR="00513A28" w:rsidRPr="00513A28" w:rsidRDefault="00513A28" w:rsidP="00513A28">
      <w:pPr>
        <w:spacing w:after="0" w:line="280" w:lineRule="exact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13A28">
        <w:rPr>
          <w:rFonts w:ascii="Times New Roman" w:eastAsia="Times New Roman" w:hAnsi="Times New Roman"/>
          <w:b/>
          <w:sz w:val="30"/>
          <w:szCs w:val="30"/>
          <w:lang w:eastAsia="ru-RU"/>
        </w:rPr>
        <w:t>по доходам и расходам бюджетов</w:t>
      </w:r>
    </w:p>
    <w:p w:rsidR="00513A28" w:rsidRPr="00513A28" w:rsidRDefault="00513A28" w:rsidP="00513A28">
      <w:pPr>
        <w:spacing w:after="0" w:line="280" w:lineRule="exact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13A28">
        <w:rPr>
          <w:rFonts w:ascii="Times New Roman" w:eastAsia="Times New Roman" w:hAnsi="Times New Roman"/>
          <w:b/>
          <w:sz w:val="30"/>
          <w:szCs w:val="30"/>
          <w:lang w:eastAsia="ru-RU"/>
        </w:rPr>
        <w:t>сельских Советов</w:t>
      </w:r>
    </w:p>
    <w:p w:rsidR="00513A28" w:rsidRPr="00513A28" w:rsidRDefault="00513A28" w:rsidP="00513A28">
      <w:pPr>
        <w:spacing w:after="0" w:line="240" w:lineRule="auto"/>
        <w:ind w:firstLine="8364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3A28">
        <w:rPr>
          <w:rFonts w:ascii="Times New Roman" w:eastAsia="Times New Roman" w:hAnsi="Times New Roman"/>
          <w:sz w:val="30"/>
          <w:szCs w:val="30"/>
          <w:lang w:eastAsia="ru-RU"/>
        </w:rPr>
        <w:t>(рублей)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76"/>
        <w:gridCol w:w="1581"/>
        <w:gridCol w:w="703"/>
        <w:gridCol w:w="1620"/>
        <w:gridCol w:w="720"/>
        <w:gridCol w:w="1440"/>
      </w:tblGrid>
      <w:tr w:rsidR="00513A28" w:rsidRPr="00513A28" w:rsidTr="002B03B8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A97F7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сельских </w:t>
            </w:r>
            <w:r w:rsidR="00A97F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бюджетов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</w:tr>
      <w:tr w:rsidR="00513A28" w:rsidRPr="00513A28" w:rsidTr="002B03B8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обеспеченность бюджета собственными доходами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из районного бюджета (дотация)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3A28" w:rsidRPr="00513A28" w:rsidTr="002B03B8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8" w:rsidRPr="00513A28" w:rsidRDefault="00513A28" w:rsidP="00513A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3A28" w:rsidRPr="00513A28" w:rsidTr="002B03B8">
        <w:trPr>
          <w:trHeight w:val="2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Великоритский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95 616,00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64 377,00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31 239,00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95 616,00</w:t>
            </w:r>
          </w:p>
        </w:tc>
      </w:tr>
      <w:tr w:rsidR="00513A28" w:rsidRPr="00513A28" w:rsidTr="002B03B8">
        <w:trPr>
          <w:trHeight w:val="35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Гвозницкий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84 446,00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42 830,00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41 616,00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84 446,00</w:t>
            </w:r>
          </w:p>
        </w:tc>
      </w:tr>
      <w:tr w:rsidR="00513A28" w:rsidRPr="00513A28" w:rsidTr="002B03B8">
        <w:trPr>
          <w:trHeight w:val="3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Луковский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86 798,00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46 740,00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40 058,00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86 798,00</w:t>
            </w:r>
          </w:p>
        </w:tc>
      </w:tr>
      <w:tr w:rsidR="00513A28" w:rsidRPr="00513A28" w:rsidTr="002B03B8">
        <w:trPr>
          <w:trHeight w:val="3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Мокранский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97 783,00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58 021,00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39 762,00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97 783,00</w:t>
            </w:r>
          </w:p>
        </w:tc>
      </w:tr>
      <w:tr w:rsidR="00513A28" w:rsidRPr="00513A28" w:rsidTr="002B03B8">
        <w:trPr>
          <w:trHeight w:val="3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Олтушский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117 765,00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73 474,00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44 291,00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117 765,00</w:t>
            </w:r>
          </w:p>
        </w:tc>
      </w:tr>
      <w:tr w:rsidR="00513A28" w:rsidRPr="00513A28" w:rsidTr="002B03B8">
        <w:trPr>
          <w:trHeight w:val="3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Ореховский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82 553,00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37 379,00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45 174,00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82 553,00</w:t>
            </w:r>
          </w:p>
        </w:tc>
      </w:tr>
      <w:tr w:rsidR="00513A28" w:rsidRPr="00513A28" w:rsidTr="002B03B8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Хотиславский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96 996,00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60 396,00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36 600,00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96 996,00</w:t>
            </w:r>
          </w:p>
        </w:tc>
      </w:tr>
      <w:tr w:rsidR="00513A28" w:rsidRPr="00513A28" w:rsidTr="002B03B8">
        <w:trPr>
          <w:trHeight w:val="3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Чернянский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92 896,00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44 136,00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48 760,00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92 896,00</w:t>
            </w:r>
          </w:p>
        </w:tc>
      </w:tr>
      <w:tr w:rsidR="00513A28" w:rsidRPr="00513A28" w:rsidTr="002B03B8">
        <w:trPr>
          <w:trHeight w:val="3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754 853,00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427 353,00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327 500,00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8" w:rsidRPr="00513A28" w:rsidRDefault="00513A28" w:rsidP="00513A2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754 853,00</w:t>
            </w:r>
          </w:p>
        </w:tc>
      </w:tr>
    </w:tbl>
    <w:p w:rsidR="00200EBD" w:rsidRPr="00D067DB" w:rsidRDefault="00200EBD" w:rsidP="00D067D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u w:val="single"/>
        </w:rPr>
      </w:pPr>
    </w:p>
    <w:p w:rsidR="002C05CB" w:rsidRPr="00D067DB" w:rsidRDefault="002C05CB" w:rsidP="00D067D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u w:val="single"/>
        </w:rPr>
      </w:pPr>
    </w:p>
    <w:sectPr w:rsidR="002C05CB" w:rsidRPr="00D067DB" w:rsidSect="00513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B7" w:rsidRDefault="00A606B7" w:rsidP="009A4102">
      <w:pPr>
        <w:spacing w:after="0" w:line="240" w:lineRule="auto"/>
      </w:pPr>
      <w:r>
        <w:separator/>
      </w:r>
    </w:p>
  </w:endnote>
  <w:endnote w:type="continuationSeparator" w:id="0">
    <w:p w:rsidR="00A606B7" w:rsidRDefault="00A606B7" w:rsidP="009A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B7" w:rsidRDefault="00A606B7" w:rsidP="009A4102">
      <w:pPr>
        <w:spacing w:after="0" w:line="240" w:lineRule="auto"/>
      </w:pPr>
      <w:r>
        <w:separator/>
      </w:r>
    </w:p>
  </w:footnote>
  <w:footnote w:type="continuationSeparator" w:id="0">
    <w:p w:rsidR="00A606B7" w:rsidRDefault="00A606B7" w:rsidP="009A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532"/>
    <w:multiLevelType w:val="multilevel"/>
    <w:tmpl w:val="2522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1"/>
    <w:rsid w:val="00004470"/>
    <w:rsid w:val="00004EFA"/>
    <w:rsid w:val="000065C5"/>
    <w:rsid w:val="00026D3D"/>
    <w:rsid w:val="00042431"/>
    <w:rsid w:val="000428D3"/>
    <w:rsid w:val="00070BE8"/>
    <w:rsid w:val="00075FC6"/>
    <w:rsid w:val="00080964"/>
    <w:rsid w:val="00085E99"/>
    <w:rsid w:val="000951AB"/>
    <w:rsid w:val="00097EE8"/>
    <w:rsid w:val="000B6ECD"/>
    <w:rsid w:val="000C20BA"/>
    <w:rsid w:val="000C7CCF"/>
    <w:rsid w:val="000D36C2"/>
    <w:rsid w:val="000D682E"/>
    <w:rsid w:val="000E23A0"/>
    <w:rsid w:val="000E3DB4"/>
    <w:rsid w:val="000E4B47"/>
    <w:rsid w:val="000F0948"/>
    <w:rsid w:val="00110000"/>
    <w:rsid w:val="00113B83"/>
    <w:rsid w:val="00114CC0"/>
    <w:rsid w:val="001215F9"/>
    <w:rsid w:val="001247C1"/>
    <w:rsid w:val="00133E34"/>
    <w:rsid w:val="001360A0"/>
    <w:rsid w:val="00164898"/>
    <w:rsid w:val="00172E74"/>
    <w:rsid w:val="00176724"/>
    <w:rsid w:val="00187C74"/>
    <w:rsid w:val="0019798C"/>
    <w:rsid w:val="001A55BB"/>
    <w:rsid w:val="001B2DE7"/>
    <w:rsid w:val="001B4126"/>
    <w:rsid w:val="001C5AC6"/>
    <w:rsid w:val="001D2949"/>
    <w:rsid w:val="001D6568"/>
    <w:rsid w:val="00200EBD"/>
    <w:rsid w:val="00200F4D"/>
    <w:rsid w:val="00216C0F"/>
    <w:rsid w:val="002202FD"/>
    <w:rsid w:val="00224882"/>
    <w:rsid w:val="002472E0"/>
    <w:rsid w:val="00247756"/>
    <w:rsid w:val="002563B1"/>
    <w:rsid w:val="0027178D"/>
    <w:rsid w:val="002A1C1C"/>
    <w:rsid w:val="002B0502"/>
    <w:rsid w:val="002B16DC"/>
    <w:rsid w:val="002C05CB"/>
    <w:rsid w:val="002C43B5"/>
    <w:rsid w:val="002D2D84"/>
    <w:rsid w:val="002D76E1"/>
    <w:rsid w:val="002E1330"/>
    <w:rsid w:val="002E32DA"/>
    <w:rsid w:val="0030078D"/>
    <w:rsid w:val="00321997"/>
    <w:rsid w:val="003364D5"/>
    <w:rsid w:val="003366A5"/>
    <w:rsid w:val="00353D62"/>
    <w:rsid w:val="0035568B"/>
    <w:rsid w:val="00362FCA"/>
    <w:rsid w:val="00372EDA"/>
    <w:rsid w:val="003A3D3D"/>
    <w:rsid w:val="003B518B"/>
    <w:rsid w:val="003C0F1B"/>
    <w:rsid w:val="003C1709"/>
    <w:rsid w:val="003C342B"/>
    <w:rsid w:val="003D37CC"/>
    <w:rsid w:val="003F68D3"/>
    <w:rsid w:val="004008EF"/>
    <w:rsid w:val="004251E3"/>
    <w:rsid w:val="00427D01"/>
    <w:rsid w:val="00464E68"/>
    <w:rsid w:val="00467BC7"/>
    <w:rsid w:val="004807EF"/>
    <w:rsid w:val="004A2476"/>
    <w:rsid w:val="004A5893"/>
    <w:rsid w:val="004A6D3F"/>
    <w:rsid w:val="004C297F"/>
    <w:rsid w:val="004D08AE"/>
    <w:rsid w:val="00513A28"/>
    <w:rsid w:val="005418DA"/>
    <w:rsid w:val="0054529A"/>
    <w:rsid w:val="00550857"/>
    <w:rsid w:val="00560A38"/>
    <w:rsid w:val="00563873"/>
    <w:rsid w:val="0059411E"/>
    <w:rsid w:val="0059682E"/>
    <w:rsid w:val="005A2E99"/>
    <w:rsid w:val="005B2974"/>
    <w:rsid w:val="005C5E12"/>
    <w:rsid w:val="005C7E3A"/>
    <w:rsid w:val="005E0784"/>
    <w:rsid w:val="005E355B"/>
    <w:rsid w:val="005E3765"/>
    <w:rsid w:val="005F7862"/>
    <w:rsid w:val="006224F3"/>
    <w:rsid w:val="006301E0"/>
    <w:rsid w:val="006365EA"/>
    <w:rsid w:val="00644EF0"/>
    <w:rsid w:val="0066561A"/>
    <w:rsid w:val="0068098C"/>
    <w:rsid w:val="006902AD"/>
    <w:rsid w:val="006A2D8A"/>
    <w:rsid w:val="006A39D3"/>
    <w:rsid w:val="006A73F8"/>
    <w:rsid w:val="006C453C"/>
    <w:rsid w:val="006D2DC7"/>
    <w:rsid w:val="006E1BE1"/>
    <w:rsid w:val="00711FFF"/>
    <w:rsid w:val="007128BF"/>
    <w:rsid w:val="007217BE"/>
    <w:rsid w:val="007315B1"/>
    <w:rsid w:val="007452A4"/>
    <w:rsid w:val="00746DCE"/>
    <w:rsid w:val="00761F1C"/>
    <w:rsid w:val="00762132"/>
    <w:rsid w:val="00794684"/>
    <w:rsid w:val="00797DA8"/>
    <w:rsid w:val="007B24C0"/>
    <w:rsid w:val="007B631D"/>
    <w:rsid w:val="007D3EC3"/>
    <w:rsid w:val="007D4653"/>
    <w:rsid w:val="00802B78"/>
    <w:rsid w:val="008076C7"/>
    <w:rsid w:val="0082372A"/>
    <w:rsid w:val="00866847"/>
    <w:rsid w:val="00870F91"/>
    <w:rsid w:val="0087611B"/>
    <w:rsid w:val="008902B7"/>
    <w:rsid w:val="008A3294"/>
    <w:rsid w:val="008A5AAF"/>
    <w:rsid w:val="008A7247"/>
    <w:rsid w:val="008B072E"/>
    <w:rsid w:val="008B22F7"/>
    <w:rsid w:val="008B6785"/>
    <w:rsid w:val="008B7940"/>
    <w:rsid w:val="008E0C29"/>
    <w:rsid w:val="008F62BE"/>
    <w:rsid w:val="00900B8E"/>
    <w:rsid w:val="0090295C"/>
    <w:rsid w:val="00912D57"/>
    <w:rsid w:val="00915509"/>
    <w:rsid w:val="00916A61"/>
    <w:rsid w:val="00927343"/>
    <w:rsid w:val="00927AA8"/>
    <w:rsid w:val="00942A06"/>
    <w:rsid w:val="00956E1F"/>
    <w:rsid w:val="00967653"/>
    <w:rsid w:val="009777E9"/>
    <w:rsid w:val="009968A6"/>
    <w:rsid w:val="009A29AA"/>
    <w:rsid w:val="009A3849"/>
    <w:rsid w:val="009A4102"/>
    <w:rsid w:val="009B2785"/>
    <w:rsid w:val="009D5201"/>
    <w:rsid w:val="009E46EE"/>
    <w:rsid w:val="009E7DF2"/>
    <w:rsid w:val="009F112C"/>
    <w:rsid w:val="00A269FF"/>
    <w:rsid w:val="00A36638"/>
    <w:rsid w:val="00A52B80"/>
    <w:rsid w:val="00A57E4A"/>
    <w:rsid w:val="00A606B7"/>
    <w:rsid w:val="00A701C5"/>
    <w:rsid w:val="00A868B9"/>
    <w:rsid w:val="00A87548"/>
    <w:rsid w:val="00A97F71"/>
    <w:rsid w:val="00AA1B7A"/>
    <w:rsid w:val="00AA5985"/>
    <w:rsid w:val="00AB5749"/>
    <w:rsid w:val="00AE6897"/>
    <w:rsid w:val="00AF7EAB"/>
    <w:rsid w:val="00B1708D"/>
    <w:rsid w:val="00B25678"/>
    <w:rsid w:val="00B66FD7"/>
    <w:rsid w:val="00B701EC"/>
    <w:rsid w:val="00B93185"/>
    <w:rsid w:val="00BC4F5D"/>
    <w:rsid w:val="00C212BE"/>
    <w:rsid w:val="00C25324"/>
    <w:rsid w:val="00C37A3C"/>
    <w:rsid w:val="00C5145C"/>
    <w:rsid w:val="00C625D1"/>
    <w:rsid w:val="00C700C2"/>
    <w:rsid w:val="00C73C3E"/>
    <w:rsid w:val="00C76CEE"/>
    <w:rsid w:val="00C8648E"/>
    <w:rsid w:val="00C906EB"/>
    <w:rsid w:val="00C91BCF"/>
    <w:rsid w:val="00CA0849"/>
    <w:rsid w:val="00CA4530"/>
    <w:rsid w:val="00CC3184"/>
    <w:rsid w:val="00CC54A9"/>
    <w:rsid w:val="00CD325B"/>
    <w:rsid w:val="00CF364F"/>
    <w:rsid w:val="00D067DB"/>
    <w:rsid w:val="00D07E6E"/>
    <w:rsid w:val="00D1146C"/>
    <w:rsid w:val="00D13D5C"/>
    <w:rsid w:val="00D210E3"/>
    <w:rsid w:val="00D444CE"/>
    <w:rsid w:val="00D50150"/>
    <w:rsid w:val="00D72AA8"/>
    <w:rsid w:val="00D81B33"/>
    <w:rsid w:val="00D8311A"/>
    <w:rsid w:val="00DA7CCD"/>
    <w:rsid w:val="00DD70D8"/>
    <w:rsid w:val="00DE21C3"/>
    <w:rsid w:val="00E0189B"/>
    <w:rsid w:val="00E023F8"/>
    <w:rsid w:val="00E2362D"/>
    <w:rsid w:val="00E617C0"/>
    <w:rsid w:val="00E63659"/>
    <w:rsid w:val="00E660B6"/>
    <w:rsid w:val="00E87B6D"/>
    <w:rsid w:val="00E9447F"/>
    <w:rsid w:val="00EB164A"/>
    <w:rsid w:val="00EB6AED"/>
    <w:rsid w:val="00EC20D4"/>
    <w:rsid w:val="00EC23C8"/>
    <w:rsid w:val="00ED571B"/>
    <w:rsid w:val="00EE3AD3"/>
    <w:rsid w:val="00F1118F"/>
    <w:rsid w:val="00F1757A"/>
    <w:rsid w:val="00F2431B"/>
    <w:rsid w:val="00F27162"/>
    <w:rsid w:val="00F43309"/>
    <w:rsid w:val="00F44E8B"/>
    <w:rsid w:val="00F74631"/>
    <w:rsid w:val="00FA2E04"/>
    <w:rsid w:val="00FA39CF"/>
    <w:rsid w:val="00FA667B"/>
    <w:rsid w:val="00FC159F"/>
    <w:rsid w:val="00FC22A9"/>
    <w:rsid w:val="00FD771F"/>
    <w:rsid w:val="00FE7BF4"/>
    <w:rsid w:val="00FF314F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8113-3B0D-4959-B97A-6B132CB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15B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7315B1"/>
    <w:rPr>
      <w:rFonts w:ascii="Times New Roman" w:eastAsia="Times New Roman" w:hAnsi="Times New Roman"/>
      <w:sz w:val="30"/>
    </w:rPr>
  </w:style>
  <w:style w:type="table" w:styleId="a5">
    <w:name w:val="Table Grid"/>
    <w:basedOn w:val="a1"/>
    <w:rsid w:val="007315B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4 Знак Знак Знак Знак Знак Знак Знак Знак Знак Знак"/>
    <w:basedOn w:val="a"/>
    <w:rsid w:val="007452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B631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631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B63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B631D"/>
    <w:rPr>
      <w:sz w:val="16"/>
      <w:szCs w:val="16"/>
      <w:lang w:eastAsia="en-US"/>
    </w:rPr>
  </w:style>
  <w:style w:type="paragraph" w:customStyle="1" w:styleId="a6">
    <w:name w:val="Знак"/>
    <w:basedOn w:val="a"/>
    <w:rsid w:val="007B63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325B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EC23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C23C8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10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A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4102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39"/>
    <w:rsid w:val="006A39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050782977970431E-2"/>
          <c:y val="0.10784367414599492"/>
          <c:w val="0.84455266300982035"/>
          <c:h val="0.724395199200846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D52E-4B67-9F5C-F9DAF1C94F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52E-4B67-9F5C-F9DAF1C94F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52E-4B67-9F5C-F9DAF1C94F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52E-4B67-9F5C-F9DAF1C94F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D52E-4B67-9F5C-F9DAF1C94F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D52E-4B67-9F5C-F9DAF1C94F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52E-4B67-9F5C-F9DAF1C94FD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D52E-4B67-9F5C-F9DAF1C94FD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52E-4B67-9F5C-F9DAF1C94FD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D52E-4B67-9F5C-F9DAF1C94F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15 710,0</c:v>
                </c:pt>
                <c:pt idx="1">
                  <c:v>Неналоговые поступления  1 979,9</c:v>
                </c:pt>
                <c:pt idx="2">
                  <c:v>Безвозмездные поступления  24 095,1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0.376</c:v>
                </c:pt>
                <c:pt idx="1">
                  <c:v>4.7E-2</c:v>
                </c:pt>
                <c:pt idx="2">
                  <c:v>0.57699999999999996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52E-4B67-9F5C-F9DAF1C94F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52E-4B67-9F5C-F9DAF1C94FD1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52E-4B67-9F5C-F9DAF1C94FD1}"/>
                </c:ext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52E-4B67-9F5C-F9DAF1C94FD1}"/>
                </c:ext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52E-4B67-9F5C-F9DAF1C94FD1}"/>
                </c:ext>
              </c:extLst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52E-4B67-9F5C-F9DAF1C94F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15 710,0</c:v>
                </c:pt>
                <c:pt idx="1">
                  <c:v>Неналоговые поступления  1 979,9</c:v>
                </c:pt>
                <c:pt idx="2">
                  <c:v>Безвозмездные поступления  24 095,1</c:v>
                </c:pt>
              </c:strCache>
            </c:str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2-D52E-4B67-9F5C-F9DAF1C94FD1}"/>
            </c:ext>
          </c:extLst>
        </c:ser>
        <c:ser>
          <c:idx val="2"/>
          <c:order val="2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D52E-4B67-9F5C-F9DAF1C94F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D52E-4B67-9F5C-F9DAF1C94F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D52E-4B67-9F5C-F9DAF1C94F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D52E-4B67-9F5C-F9DAF1C94F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D52E-4B67-9F5C-F9DAF1C94F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D52E-4B67-9F5C-F9DAF1C94FD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D52E-4B67-9F5C-F9DAF1C94FD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D52E-4B67-9F5C-F9DAF1C94FD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D52E-4B67-9F5C-F9DAF1C94FD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D52E-4B67-9F5C-F9DAF1C94FD1}"/>
              </c:ext>
            </c:extLst>
          </c:dPt>
          <c:dLbls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52E-4B67-9F5C-F9DAF1C94F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15 710,0</c:v>
                </c:pt>
                <c:pt idx="1">
                  <c:v>Неналоговые поступления  1 979,9</c:v>
                </c:pt>
                <c:pt idx="2">
                  <c:v>Безвозмездные поступления  24 095,1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111.1</c:v>
                </c:pt>
                <c:pt idx="1">
                  <c:v>212.7</c:v>
                </c:pt>
                <c:pt idx="2">
                  <c:v>127.8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D52E-4B67-9F5C-F9DAF1C94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5022157505567E-2"/>
          <c:y val="1.2116120835214069E-2"/>
          <c:w val="0.77994589710098006"/>
          <c:h val="0.668425048842579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вес, %</c:v>
                </c:pt>
              </c:strCache>
            </c:strRef>
          </c:tx>
          <c:explosion val="26"/>
          <c:dPt>
            <c:idx val="0"/>
            <c:bubble3D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3A-461D-AAEE-8DE792AD1600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3A-461D-AAEE-8DE792AD1600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93A-461D-AAEE-8DE792AD1600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93A-461D-AAEE-8DE792AD1600}"/>
              </c:ext>
            </c:extLst>
          </c:dPt>
          <c:dPt>
            <c:idx val="4"/>
            <c:bubble3D val="0"/>
            <c:explosion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93A-461D-AAEE-8DE792AD1600}"/>
              </c:ext>
            </c:extLst>
          </c:dPt>
          <c:dPt>
            <c:idx val="5"/>
            <c:bubble3D val="0"/>
            <c:explosion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93A-461D-AAEE-8DE792AD160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C93A-461D-AAEE-8DE792AD160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93A-461D-AAEE-8DE792AD160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C93A-461D-AAEE-8DE792AD160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93A-461D-AAEE-8DE792AD1600}"/>
              </c:ext>
            </c:extLst>
          </c:dPt>
          <c:dLbls>
            <c:dLbl>
              <c:idx val="0"/>
              <c:layout>
                <c:manualLayout>
                  <c:x val="-0.16441748867929978"/>
                  <c:y val="-2.44839246352787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926739926739932E-2"/>
                      <c:h val="7.6220592563229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93A-461D-AAEE-8DE792AD1600}"/>
                </c:ext>
              </c:extLst>
            </c:dLbl>
            <c:dLbl>
              <c:idx val="3"/>
              <c:layout>
                <c:manualLayout>
                  <c:x val="7.6533161720169593E-2"/>
                  <c:y val="-0.1354291668918959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93A-461D-AAEE-8DE792AD1600}"/>
                </c:ext>
              </c:extLst>
            </c:dLbl>
            <c:dLbl>
              <c:idx val="4"/>
              <c:layout>
                <c:manualLayout>
                  <c:x val="0.1214103645698133"/>
                  <c:y val="5.6592010666858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93A-461D-AAEE-8DE792AD1600}"/>
                </c:ext>
              </c:extLst>
            </c:dLbl>
            <c:dLbl>
              <c:idx val="7"/>
              <c:layout>
                <c:manualLayout>
                  <c:x val="2.8829185706138382E-3"/>
                  <c:y val="-4.410040850156888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93A-461D-AAEE-8DE792AD1600}"/>
                </c:ext>
              </c:extLst>
            </c:dLbl>
            <c:dLbl>
              <c:idx val="9"/>
              <c:layout>
                <c:manualLayout>
                  <c:x val="2.0300743657042869E-3"/>
                  <c:y val="6.4688729367930989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93A-461D-AAEE-8DE792AD16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Подоходный  налог 7 383,3</c:v>
                </c:pt>
                <c:pt idx="1">
                  <c:v>Налог на прибыль 245,7</c:v>
                </c:pt>
                <c:pt idx="2">
                  <c:v>Налоги на собственность  1 417,7</c:v>
                </c:pt>
                <c:pt idx="3">
                  <c:v>Другие налоги от выручки 1 739,4</c:v>
                </c:pt>
                <c:pt idx="4">
                  <c:v>Налог на добавленную стоимость 4 690,5</c:v>
                </c:pt>
                <c:pt idx="5">
                  <c:v>Прочие налоги и сборы 233,4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0.47</c:v>
                </c:pt>
                <c:pt idx="1">
                  <c:v>1.4999999999999999E-2</c:v>
                </c:pt>
                <c:pt idx="2">
                  <c:v>0.09</c:v>
                </c:pt>
                <c:pt idx="3">
                  <c:v>0.111</c:v>
                </c:pt>
                <c:pt idx="4">
                  <c:v>0.29899999999999999</c:v>
                </c:pt>
                <c:pt idx="5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93A-461D-AAEE-8DE792AD16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93A-461D-AAEE-8DE792AD1600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93A-461D-AAEE-8DE792AD1600}"/>
                </c:ext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93A-461D-AAEE-8DE792AD1600}"/>
                </c:ext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93A-461D-AAEE-8DE792AD1600}"/>
                </c:ext>
              </c:extLst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93A-461D-AAEE-8DE792AD16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Подоходный  налог 7 383,3</c:v>
                </c:pt>
                <c:pt idx="1">
                  <c:v>Налог на прибыль 245,7</c:v>
                </c:pt>
                <c:pt idx="2">
                  <c:v>Налоги на собственность  1 417,7</c:v>
                </c:pt>
                <c:pt idx="3">
                  <c:v>Другие налоги от выручки 1 739,4</c:v>
                </c:pt>
                <c:pt idx="4">
                  <c:v>Налог на добавленную стоимость 4 690,5</c:v>
                </c:pt>
                <c:pt idx="5">
                  <c:v>Прочие налоги и сборы 233,4</c:v>
                </c:pt>
              </c:strCache>
            </c:str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5-C93A-461D-AAEE-8DE792AD1600}"/>
            </c:ext>
          </c:extLst>
        </c:ser>
        <c:ser>
          <c:idx val="2"/>
          <c:order val="2"/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C93A-461D-AAEE-8DE792AD16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93A-461D-AAEE-8DE792AD16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C93A-461D-AAEE-8DE792AD16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C93A-461D-AAEE-8DE792AD16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C93A-461D-AAEE-8DE792AD160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C93A-461D-AAEE-8DE792AD160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C93A-461D-AAEE-8DE792AD160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C93A-461D-AAEE-8DE792AD160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C93A-461D-AAEE-8DE792AD160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C93A-461D-AAEE-8DE792AD1600}"/>
              </c:ext>
            </c:extLst>
          </c:dPt>
          <c:dLbls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93A-461D-AAEE-8DE792AD16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Подоходный  налог 7 383,3</c:v>
                </c:pt>
                <c:pt idx="1">
                  <c:v>Налог на прибыль 245,7</c:v>
                </c:pt>
                <c:pt idx="2">
                  <c:v>Налоги на собственность  1 417,7</c:v>
                </c:pt>
                <c:pt idx="3">
                  <c:v>Другие налоги от выручки 1 739,4</c:v>
                </c:pt>
                <c:pt idx="4">
                  <c:v>Налог на добавленную стоимость 4 690,5</c:v>
                </c:pt>
                <c:pt idx="5">
                  <c:v>Прочие налоги и сборы 233,4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111.1</c:v>
                </c:pt>
                <c:pt idx="1">
                  <c:v>212.7</c:v>
                </c:pt>
                <c:pt idx="2">
                  <c:v>127.8</c:v>
                </c:pt>
                <c:pt idx="3">
                  <c:v>134</c:v>
                </c:pt>
                <c:pt idx="4">
                  <c:v>109.3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C93A-461D-AAEE-8DE792AD1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353276288440826E-2"/>
          <c:y val="0.61094863142107236"/>
          <c:w val="0.89370192526512215"/>
          <c:h val="0.389051368578927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13114754098366"/>
          <c:y val="0.1111111111111111"/>
          <c:w val="0.68989071038251393"/>
          <c:h val="0.673076923076923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>
                  <a:alpha val="9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DB95-4E69-AD36-79E52E62C734}"/>
              </c:ext>
            </c:extLst>
          </c:dPt>
          <c:dPt>
            <c:idx val="1"/>
            <c:bubble3D val="0"/>
            <c:spPr>
              <a:solidFill>
                <a:srgbClr val="00B0F0">
                  <a:alpha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DB95-4E69-AD36-79E52E62C734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DB95-4E69-AD36-79E52E62C734}"/>
              </c:ext>
            </c:extLst>
          </c:dPt>
          <c:dPt>
            <c:idx val="3"/>
            <c:bubble3D val="0"/>
            <c:spPr>
              <a:solidFill>
                <a:srgbClr val="FF0000">
                  <a:alpha val="83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7-DB95-4E69-AD36-79E52E62C73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8-DB95-4E69-AD36-79E52E62C73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DB95-4E69-AD36-79E52E62C73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A-DB95-4E69-AD36-79E52E62C73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B-DB95-4E69-AD36-79E52E62C734}"/>
              </c:ext>
            </c:extLst>
          </c:dPt>
          <c:dLbls>
            <c:dLbl>
              <c:idx val="0"/>
              <c:layout>
                <c:manualLayout>
                  <c:x val="-5.1843884160174984E-2"/>
                  <c:y val="-3.381536442560064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B95-4E69-AD36-79E52E62C734}"/>
                </c:ext>
              </c:extLst>
            </c:dLbl>
            <c:dLbl>
              <c:idx val="1"/>
              <c:layout>
                <c:manualLayout>
                  <c:x val="-2.5007298947182174E-2"/>
                  <c:y val="-2.50605240672173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B95-4E69-AD36-79E52E62C734}"/>
                </c:ext>
              </c:extLst>
            </c:dLbl>
            <c:dLbl>
              <c:idx val="2"/>
              <c:layout>
                <c:manualLayout>
                  <c:x val="-6.6944616473501584E-3"/>
                  <c:y val="-1.05433942303780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B95-4E69-AD36-79E52E62C734}"/>
                </c:ext>
              </c:extLst>
            </c:dLbl>
            <c:dLbl>
              <c:idx val="3"/>
              <c:layout>
                <c:manualLayout>
                  <c:x val="-2.6469742546226666E-3"/>
                  <c:y val="-6.8494357913304309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B95-4E69-AD36-79E52E62C734}"/>
                </c:ext>
              </c:extLst>
            </c:dLbl>
            <c:dLbl>
              <c:idx val="4"/>
              <c:layout>
                <c:manualLayout>
                  <c:x val="-5.9226311598690615E-2"/>
                  <c:y val="-8.91473456328908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B95-4E69-AD36-79E52E62C734}"/>
                </c:ext>
              </c:extLst>
            </c:dLbl>
            <c:dLbl>
              <c:idx val="5"/>
              <c:layout>
                <c:manualLayout>
                  <c:x val="3.3153808723347792E-3"/>
                  <c:y val="8.761409719114121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B95-4E69-AD36-79E52E62C734}"/>
                </c:ext>
              </c:extLst>
            </c:dLbl>
            <c:dLbl>
              <c:idx val="6"/>
              <c:layout>
                <c:manualLayout>
                  <c:x val="2.5515699375948938E-2"/>
                  <c:y val="-2.82070801948472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B95-4E69-AD36-79E52E62C734}"/>
                </c:ext>
              </c:extLst>
            </c:dLbl>
            <c:dLbl>
              <c:idx val="7"/>
              <c:layout>
                <c:manualLayout>
                  <c:x val="6.8220383968857795E-2"/>
                  <c:y val="-2.51000257693507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B95-4E69-AD36-79E52E62C734}"/>
                </c:ext>
              </c:extLst>
            </c:dLbl>
            <c:spPr>
              <a:noFill/>
              <a:ln w="30727">
                <a:noFill/>
              </a:ln>
            </c:spPr>
            <c:txPr>
              <a:bodyPr/>
              <a:lstStyle/>
              <a:p>
                <a:pPr>
                  <a:defRPr sz="1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ЖКХ и строительство (10,4%)</c:v>
                </c:pt>
                <c:pt idx="1">
                  <c:v>Национальная экономика (3,5%)</c:v>
                </c:pt>
                <c:pt idx="2">
                  <c:v>Здравоохранение (21,3%)</c:v>
                </c:pt>
                <c:pt idx="3">
                  <c:v>Культура (5,5%)</c:v>
                </c:pt>
                <c:pt idx="4">
                  <c:v>Образование (45,5%)</c:v>
                </c:pt>
                <c:pt idx="5">
                  <c:v>Физическая культура (2,3%)</c:v>
                </c:pt>
                <c:pt idx="6">
                  <c:v>Соцполитика (4,2%)</c:v>
                </c:pt>
                <c:pt idx="7">
                  <c:v>Прочие (7,3%)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4324.8</c:v>
                </c:pt>
                <c:pt idx="1">
                  <c:v>1458.7</c:v>
                </c:pt>
                <c:pt idx="2">
                  <c:v>8905.7999999999993</c:v>
                </c:pt>
                <c:pt idx="3">
                  <c:v>2311.3000000000002</c:v>
                </c:pt>
                <c:pt idx="4">
                  <c:v>19006.8</c:v>
                </c:pt>
                <c:pt idx="5" formatCode="General">
                  <c:v>951.6</c:v>
                </c:pt>
                <c:pt idx="6">
                  <c:v>1771.1</c:v>
                </c:pt>
                <c:pt idx="7">
                  <c:v>3054.9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B95-4E69-AD36-79E52E62C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2.0563511869941962E-2"/>
          <c:y val="0.76003683097373287"/>
          <c:w val="0.97001005820290631"/>
          <c:h val="0.2284620836286321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564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8C25-8006-4D07-910A-E54F02EF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Козлович Лидия</dc:creator>
  <cp:keywords/>
  <cp:lastModifiedBy>Троц Жанна Владимировна</cp:lastModifiedBy>
  <cp:revision>68</cp:revision>
  <cp:lastPrinted>2019-03-25T12:02:00Z</cp:lastPrinted>
  <dcterms:created xsi:type="dcterms:W3CDTF">2019-03-12T06:07:00Z</dcterms:created>
  <dcterms:modified xsi:type="dcterms:W3CDTF">2020-02-28T12:13:00Z</dcterms:modified>
</cp:coreProperties>
</file>