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4111"/>
        <w:gridCol w:w="2977"/>
      </w:tblGrid>
      <w:tr w:rsidR="00AF211E" w14:paraId="2E0F4683" w14:textId="77777777" w:rsidTr="00725624">
        <w:trPr>
          <w:jc w:val="center"/>
        </w:trPr>
        <w:tc>
          <w:tcPr>
            <w:tcW w:w="41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2E6AF" w14:textId="77777777" w:rsidR="00AF211E" w:rsidRDefault="00000000">
            <w:r>
              <w:rPr>
                <w:noProof/>
              </w:rPr>
              <w:drawing>
                <wp:inline distT="0" distB="0" distL="0" distR="0" wp14:anchorId="44003D14" wp14:editId="66F1C832">
                  <wp:extent cx="1543050" cy="693916"/>
                  <wp:effectExtent l="0" t="0" r="0" b="0"/>
                  <wp:docPr id="1" name="Picture 1" descr="Логотип ООО АхиТовКонсалти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k_logo_sit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037" cy="71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88D43" w14:textId="77777777" w:rsidR="00AF211E" w:rsidRPr="00725624" w:rsidRDefault="00000000">
            <w:pPr>
              <w:spacing w:line="235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25624">
              <w:rPr>
                <w:rFonts w:ascii="Times New Roman" w:eastAsia="Arial" w:hAnsi="Times New Roman" w:cs="Times New Roman"/>
                <w:b/>
                <w:color w:val="0E5F37"/>
                <w:sz w:val="26"/>
                <w:szCs w:val="26"/>
                <w:lang w:val="ru-RU"/>
              </w:rPr>
              <w:t>БЕЛОРУССКИЙ ФОНД</w:t>
            </w:r>
            <w:r w:rsidRPr="00725624">
              <w:rPr>
                <w:rFonts w:ascii="Times New Roman" w:eastAsia="Arial" w:hAnsi="Times New Roman" w:cs="Times New Roman"/>
                <w:b/>
                <w:color w:val="0E5F37"/>
                <w:sz w:val="26"/>
                <w:szCs w:val="26"/>
                <w:lang w:val="ru-RU"/>
              </w:rPr>
              <w:br/>
              <w:t>ФИНАНСОВОЙ ПОДДЕРЖКИ</w:t>
            </w:r>
            <w:r w:rsidRPr="00725624">
              <w:rPr>
                <w:rFonts w:ascii="Times New Roman" w:eastAsia="Arial" w:hAnsi="Times New Roman" w:cs="Times New Roman"/>
                <w:b/>
                <w:color w:val="0E5F37"/>
                <w:sz w:val="26"/>
                <w:szCs w:val="26"/>
                <w:lang w:val="ru-RU"/>
              </w:rPr>
              <w:br/>
              <w:t>ПРЕДПРИНИМАТЕЛЕЙ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FF3F7" w14:textId="77777777" w:rsidR="00AF211E" w:rsidRPr="009B7307" w:rsidRDefault="00000000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9B7307">
              <w:rPr>
                <w:rFonts w:ascii="Times New Roman" w:hAnsi="Times New Roman" w:cs="Times New Roman"/>
                <w:noProof/>
                <w:szCs w:val="20"/>
              </w:rPr>
              <w:drawing>
                <wp:inline distT="0" distB="0" distL="0" distR="0" wp14:anchorId="5C47AE3E" wp14:editId="501B3F4C">
                  <wp:extent cx="1085850" cy="819150"/>
                  <wp:effectExtent l="0" t="0" r="0" b="0"/>
                  <wp:docPr id="2" name="Picture 2" descr="Логотип Белорусского фонда финансовой поддержки предпринимател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larp_logo_curr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477" cy="825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10EC21" w14:textId="77777777" w:rsidR="00AF211E" w:rsidRPr="00AE7067" w:rsidRDefault="00000000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hAnsi="Times New Roman" w:cs="Times New Roman"/>
          <w:sz w:val="24"/>
          <w:szCs w:val="24"/>
          <w:lang w:val="ru-RU"/>
        </w:rPr>
        <w:t>План проведения онлайн вебинара</w:t>
      </w:r>
    </w:p>
    <w:p w14:paraId="733F6DF9" w14:textId="77777777" w:rsidR="00AF211E" w:rsidRPr="00AE7067" w:rsidRDefault="00000000">
      <w:pPr>
        <w:spacing w:after="1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b/>
          <w:color w:val="168B45"/>
          <w:sz w:val="24"/>
          <w:szCs w:val="24"/>
          <w:lang w:val="ru-RU"/>
        </w:rPr>
        <w:t>22 сентября 2026 года</w:t>
      </w:r>
    </w:p>
    <w:p w14:paraId="636AEE4E" w14:textId="57490FD1" w:rsidR="00AF211E" w:rsidRPr="00AE7067" w:rsidRDefault="00000000">
      <w:pPr>
        <w:spacing w:after="2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b/>
          <w:sz w:val="24"/>
          <w:szCs w:val="24"/>
          <w:lang w:val="ru-RU"/>
        </w:rPr>
        <w:t>Деньги собственника и деньги компании</w:t>
      </w:r>
      <w:r w:rsidRPr="00AE706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E7067">
        <w:rPr>
          <w:rFonts w:ascii="Times New Roman" w:eastAsia="Arial" w:hAnsi="Times New Roman" w:cs="Times New Roman"/>
          <w:color w:val="0E5F37"/>
          <w:sz w:val="24"/>
          <w:szCs w:val="24"/>
          <w:lang w:val="ru-RU"/>
        </w:rPr>
        <w:t>как вкладывать</w:t>
      </w:r>
      <w:r w:rsidR="00B46400">
        <w:rPr>
          <w:rFonts w:ascii="Times New Roman" w:eastAsia="Arial" w:hAnsi="Times New Roman" w:cs="Times New Roman"/>
          <w:color w:val="0E5F37"/>
          <w:sz w:val="24"/>
          <w:szCs w:val="24"/>
          <w:lang w:val="ru-RU"/>
        </w:rPr>
        <w:t>,</w:t>
      </w:r>
      <w:r w:rsidRPr="00AE7067">
        <w:rPr>
          <w:rFonts w:ascii="Times New Roman" w:eastAsia="Arial" w:hAnsi="Times New Roman" w:cs="Times New Roman"/>
          <w:color w:val="0E5F37"/>
          <w:sz w:val="24"/>
          <w:szCs w:val="24"/>
          <w:lang w:val="ru-RU"/>
        </w:rPr>
        <w:t xml:space="preserve"> получать доход и не допускать налоговых ошибок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F211E" w:rsidRPr="00AE7067" w14:paraId="0ADCAA5E" w14:textId="77777777">
        <w:trPr>
          <w:jc w:val="center"/>
        </w:trPr>
        <w:tc>
          <w:tcPr>
            <w:tcW w:w="5184" w:type="dxa"/>
            <w:shd w:val="clear" w:color="auto" w:fill="EDF6F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450220" w14:textId="77777777" w:rsidR="00AF211E" w:rsidRPr="00AE706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067">
              <w:rPr>
                <w:rFonts w:ascii="Times New Roman" w:eastAsia="Arial" w:hAnsi="Times New Roman" w:cs="Times New Roman"/>
                <w:b/>
                <w:color w:val="0E5F37"/>
                <w:sz w:val="24"/>
                <w:szCs w:val="24"/>
              </w:rPr>
              <w:t>Формат</w:t>
            </w:r>
            <w:proofErr w:type="spellEnd"/>
          </w:p>
        </w:tc>
        <w:tc>
          <w:tcPr>
            <w:tcW w:w="51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6F4CA9" w14:textId="77777777" w:rsidR="00AF211E" w:rsidRPr="00AE706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Онлайн вебинар</w:t>
            </w:r>
          </w:p>
        </w:tc>
      </w:tr>
      <w:tr w:rsidR="00AF211E" w:rsidRPr="00AE7067" w14:paraId="6756F63B" w14:textId="77777777">
        <w:trPr>
          <w:jc w:val="center"/>
        </w:trPr>
        <w:tc>
          <w:tcPr>
            <w:tcW w:w="5184" w:type="dxa"/>
            <w:shd w:val="clear" w:color="auto" w:fill="EDF6F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8089C0" w14:textId="77777777" w:rsidR="00AF211E" w:rsidRPr="00AE706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7067">
              <w:rPr>
                <w:rFonts w:ascii="Times New Roman" w:eastAsia="Arial" w:hAnsi="Times New Roman" w:cs="Times New Roman"/>
                <w:b/>
                <w:color w:val="0E5F37"/>
                <w:sz w:val="24"/>
                <w:szCs w:val="24"/>
              </w:rPr>
              <w:t>Продолжительность</w:t>
            </w:r>
          </w:p>
        </w:tc>
        <w:tc>
          <w:tcPr>
            <w:tcW w:w="51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316E08" w14:textId="77777777" w:rsidR="00AF211E" w:rsidRPr="00AE706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90 минут</w:t>
            </w:r>
          </w:p>
        </w:tc>
      </w:tr>
      <w:tr w:rsidR="00AF211E" w:rsidRPr="00B46400" w14:paraId="65AA2F77" w14:textId="77777777">
        <w:trPr>
          <w:jc w:val="center"/>
        </w:trPr>
        <w:tc>
          <w:tcPr>
            <w:tcW w:w="5184" w:type="dxa"/>
            <w:shd w:val="clear" w:color="auto" w:fill="EDF6F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3120A9" w14:textId="77777777" w:rsidR="00AF211E" w:rsidRPr="00AE706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7067">
              <w:rPr>
                <w:rFonts w:ascii="Times New Roman" w:eastAsia="Arial" w:hAnsi="Times New Roman" w:cs="Times New Roman"/>
                <w:b/>
                <w:color w:val="0E5F37"/>
                <w:sz w:val="24"/>
                <w:szCs w:val="24"/>
              </w:rPr>
              <w:t>Организатор</w:t>
            </w:r>
          </w:p>
        </w:tc>
        <w:tc>
          <w:tcPr>
            <w:tcW w:w="51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BEA41A" w14:textId="77777777" w:rsidR="00AF211E" w:rsidRPr="00AE706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Белорусский фонд финансовой поддержки предпринимателей</w:t>
            </w:r>
          </w:p>
        </w:tc>
      </w:tr>
      <w:tr w:rsidR="00AF211E" w:rsidRPr="00B46400" w14:paraId="4C3F231A" w14:textId="77777777">
        <w:trPr>
          <w:jc w:val="center"/>
        </w:trPr>
        <w:tc>
          <w:tcPr>
            <w:tcW w:w="5184" w:type="dxa"/>
            <w:shd w:val="clear" w:color="auto" w:fill="EDF6F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EBE702" w14:textId="77777777" w:rsidR="00AF211E" w:rsidRPr="00AE706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067">
              <w:rPr>
                <w:rFonts w:ascii="Times New Roman" w:eastAsia="Arial" w:hAnsi="Times New Roman" w:cs="Times New Roman"/>
                <w:b/>
                <w:color w:val="0E5F37"/>
                <w:sz w:val="24"/>
                <w:szCs w:val="24"/>
              </w:rPr>
              <w:t>Эксперт</w:t>
            </w:r>
            <w:proofErr w:type="spellEnd"/>
            <w:r w:rsidRPr="00AE7067">
              <w:rPr>
                <w:rFonts w:ascii="Times New Roman" w:eastAsia="Arial" w:hAnsi="Times New Roman" w:cs="Times New Roman"/>
                <w:b/>
                <w:color w:val="0E5F37"/>
                <w:sz w:val="24"/>
                <w:szCs w:val="24"/>
              </w:rPr>
              <w:t xml:space="preserve"> и </w:t>
            </w:r>
            <w:proofErr w:type="spellStart"/>
            <w:r w:rsidRPr="00AE7067">
              <w:rPr>
                <w:rFonts w:ascii="Times New Roman" w:eastAsia="Arial" w:hAnsi="Times New Roman" w:cs="Times New Roman"/>
                <w:b/>
                <w:color w:val="0E5F37"/>
                <w:sz w:val="24"/>
                <w:szCs w:val="24"/>
              </w:rPr>
              <w:t>спикер</w:t>
            </w:r>
            <w:proofErr w:type="spellEnd"/>
          </w:p>
        </w:tc>
        <w:tc>
          <w:tcPr>
            <w:tcW w:w="51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0A1E75" w14:textId="77777777" w:rsidR="00AF211E" w:rsidRPr="00AE706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Татьяна Геннадьевна 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Кашевская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, налоговый консультант ООО «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АхиТовКонсалтинг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</w:tbl>
    <w:p w14:paraId="2D3289EB" w14:textId="77777777" w:rsidR="00AF211E" w:rsidRPr="00AE7067" w:rsidRDefault="00000000" w:rsidP="00725624">
      <w:pPr>
        <w:pStyle w:val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hAnsi="Times New Roman" w:cs="Times New Roman"/>
          <w:sz w:val="24"/>
          <w:szCs w:val="24"/>
          <w:lang w:val="ru-RU"/>
        </w:rPr>
        <w:t>Цель вебинара</w:t>
      </w:r>
    </w:p>
    <w:p w14:paraId="06E1BE50" w14:textId="77777777" w:rsidR="00AF211E" w:rsidRPr="00AE7067" w:rsidRDefault="00000000" w:rsidP="0072562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sz w:val="24"/>
          <w:szCs w:val="24"/>
          <w:lang w:val="ru-RU"/>
        </w:rPr>
        <w:t>На практических примерах показать предпринимателям, как правильно оформлять движение денег и имущества между собственником и компанией. Участники получат алгоритм проверки каждой операции: правовое основание, документы, бухгалтерский учёт и налоговые последствия.</w:t>
      </w:r>
    </w:p>
    <w:p w14:paraId="1D4EB08C" w14:textId="77777777" w:rsidR="00AF211E" w:rsidRPr="00AE7067" w:rsidRDefault="00000000" w:rsidP="00725624">
      <w:pPr>
        <w:pStyle w:val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hAnsi="Times New Roman" w:cs="Times New Roman"/>
          <w:sz w:val="24"/>
          <w:szCs w:val="24"/>
          <w:lang w:val="ru-RU"/>
        </w:rPr>
        <w:t>Целевая аудитория</w:t>
      </w:r>
    </w:p>
    <w:p w14:paraId="6ED7A826" w14:textId="77777777" w:rsidR="00AF211E" w:rsidRPr="00AE7067" w:rsidRDefault="00000000" w:rsidP="00725624">
      <w:pPr>
        <w:spacing w:after="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sz w:val="24"/>
          <w:szCs w:val="24"/>
          <w:lang w:val="ru-RU"/>
        </w:rPr>
        <w:t>Собственники бизнеса, руководители организаций, представители малого и среднего предпринимательства, начинающие предприниматели и специалисты, участвующие в финансовых решениях компании.</w:t>
      </w:r>
    </w:p>
    <w:p w14:paraId="625AA9F8" w14:textId="77777777" w:rsidR="00AF211E" w:rsidRPr="00AE7067" w:rsidRDefault="00000000" w:rsidP="00725624">
      <w:pPr>
        <w:spacing w:after="1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color w:val="6B7280"/>
          <w:sz w:val="24"/>
          <w:szCs w:val="24"/>
          <w:lang w:val="ru-RU"/>
        </w:rPr>
        <w:t>Основные примеры рассматриваются на модели белорусского ООО и его участника — физического лица, налогового резидента Республики Беларусь. Для ИП, нерезидентов и отдельных специальных режимов требуется самостоятельная оценка.</w:t>
      </w:r>
    </w:p>
    <w:p w14:paraId="4B378C26" w14:textId="77777777" w:rsidR="00AF211E" w:rsidRPr="00AE7067" w:rsidRDefault="00000000">
      <w:pPr>
        <w:pStyle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AE7067">
        <w:rPr>
          <w:rFonts w:ascii="Times New Roman" w:hAnsi="Times New Roman" w:cs="Times New Roman"/>
          <w:sz w:val="24"/>
          <w:szCs w:val="24"/>
        </w:rPr>
        <w:t>Программа</w:t>
      </w:r>
      <w:proofErr w:type="spellEnd"/>
      <w:r w:rsidRPr="00AE7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067"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</w:p>
    <w:tbl>
      <w:tblPr>
        <w:tblW w:w="10482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482"/>
      </w:tblGrid>
      <w:tr w:rsidR="009B7307" w:rsidRPr="00AE7067" w14:paraId="57553F91" w14:textId="77777777" w:rsidTr="00725624">
        <w:trPr>
          <w:tblHeader/>
          <w:jc w:val="center"/>
        </w:trPr>
        <w:tc>
          <w:tcPr>
            <w:tcW w:w="10482" w:type="dxa"/>
            <w:shd w:val="clear" w:color="auto" w:fill="0E5F37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765CC24" w14:textId="77777777" w:rsidR="009B7307" w:rsidRPr="00AE7067" w:rsidRDefault="009B73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067">
              <w:rPr>
                <w:rFonts w:ascii="Times New Roman" w:eastAsia="Arial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  <w:proofErr w:type="spellEnd"/>
          </w:p>
        </w:tc>
      </w:tr>
      <w:tr w:rsidR="009B7307" w:rsidRPr="00AE7067" w14:paraId="2C2503DF" w14:textId="77777777" w:rsidTr="00725624">
        <w:trPr>
          <w:cantSplit/>
          <w:jc w:val="center"/>
        </w:trPr>
        <w:tc>
          <w:tcPr>
            <w:tcW w:w="10482" w:type="dxa"/>
            <w:tcMar>
              <w:top w:w="82" w:type="dxa"/>
              <w:left w:w="125" w:type="dxa"/>
              <w:bottom w:w="82" w:type="dxa"/>
              <w:right w:w="125" w:type="dxa"/>
            </w:tcMar>
            <w:vAlign w:val="center"/>
          </w:tcPr>
          <w:p w14:paraId="1DE8744C" w14:textId="77777777" w:rsidR="009B7307" w:rsidRPr="00AE7067" w:rsidRDefault="009B7307" w:rsidP="00AE7067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t>Введение. Деньги собственника и деньги компании</w:t>
            </w:r>
          </w:p>
          <w:p w14:paraId="79C2402D" w14:textId="77777777" w:rsidR="009B7307" w:rsidRPr="00AE7067" w:rsidRDefault="009B7307" w:rsidP="00AE7067">
            <w:pPr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Разграничение имущества ООО и его участника. Почему любое движение денег должно иметь правовое и документальное основание. 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Представление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пяти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ситуаций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вебинара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9B7307" w:rsidRPr="00B46400" w14:paraId="3A47366A" w14:textId="77777777" w:rsidTr="00725624">
        <w:trPr>
          <w:cantSplit/>
          <w:jc w:val="center"/>
        </w:trPr>
        <w:tc>
          <w:tcPr>
            <w:tcW w:w="10482" w:type="dxa"/>
            <w:shd w:val="clear" w:color="auto" w:fill="F4F5F6"/>
            <w:tcMar>
              <w:top w:w="82" w:type="dxa"/>
              <w:left w:w="125" w:type="dxa"/>
              <w:bottom w:w="82" w:type="dxa"/>
              <w:right w:w="125" w:type="dxa"/>
            </w:tcMar>
            <w:vAlign w:val="center"/>
          </w:tcPr>
          <w:p w14:paraId="108EA090" w14:textId="77777777" w:rsidR="009B7307" w:rsidRPr="00AE7067" w:rsidRDefault="009B7307" w:rsidP="00AE7067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t>Собственник финансирует компанию</w:t>
            </w:r>
          </w:p>
          <w:p w14:paraId="4AB26E88" w14:textId="77777777" w:rsidR="009B7307" w:rsidRPr="00AE7067" w:rsidRDefault="009B7307" w:rsidP="00AE7067">
            <w:pPr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Заём участника, вклад в имущество общества и увеличение уставного фонда. Выбор способа с учётом возвратности денег. Почему назначение платежа «пополнение счёта» не заменяет оформление. Практический пример возврата займа и обезличенный случай из практики налоговых органов.</w:t>
            </w:r>
          </w:p>
        </w:tc>
      </w:tr>
      <w:tr w:rsidR="009B7307" w:rsidRPr="00B46400" w14:paraId="51FDE897" w14:textId="77777777" w:rsidTr="00725624">
        <w:trPr>
          <w:cantSplit/>
          <w:jc w:val="center"/>
        </w:trPr>
        <w:tc>
          <w:tcPr>
            <w:tcW w:w="10482" w:type="dxa"/>
            <w:tcMar>
              <w:top w:w="82" w:type="dxa"/>
              <w:left w:w="125" w:type="dxa"/>
              <w:bottom w:w="82" w:type="dxa"/>
              <w:right w:w="125" w:type="dxa"/>
            </w:tcMar>
            <w:vAlign w:val="center"/>
          </w:tcPr>
          <w:p w14:paraId="591144CB" w14:textId="77777777" w:rsidR="009B7307" w:rsidRPr="00AE7067" w:rsidRDefault="009B7307" w:rsidP="00AE7067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t>Компания выплачивает деньги собственнику</w:t>
            </w:r>
          </w:p>
          <w:p w14:paraId="068907D3" w14:textId="77777777" w:rsidR="009B7307" w:rsidRPr="00AE7067" w:rsidRDefault="009B7307" w:rsidP="00AE7067">
            <w:pPr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Остаток на счёте и прибыль к распределению. Различия между заработной платой, дивидендами и возвратом займа. Условия распределения прибыли и налогообложение дивидендов в 2026 году. Практический расчёт, случай из практики МНС и судебная практика по распределению прибыли.</w:t>
            </w:r>
          </w:p>
        </w:tc>
      </w:tr>
      <w:tr w:rsidR="009B7307" w:rsidRPr="00AE7067" w14:paraId="774ED518" w14:textId="77777777" w:rsidTr="00725624">
        <w:trPr>
          <w:cantSplit/>
          <w:jc w:val="center"/>
        </w:trPr>
        <w:tc>
          <w:tcPr>
            <w:tcW w:w="10482" w:type="dxa"/>
            <w:shd w:val="clear" w:color="auto" w:fill="F4F5F6"/>
            <w:tcMar>
              <w:top w:w="82" w:type="dxa"/>
              <w:left w:w="125" w:type="dxa"/>
              <w:bottom w:w="82" w:type="dxa"/>
              <w:right w:w="125" w:type="dxa"/>
            </w:tcMar>
            <w:vAlign w:val="center"/>
          </w:tcPr>
          <w:p w14:paraId="2B1CD20F" w14:textId="77777777" w:rsidR="009B7307" w:rsidRPr="00AE7067" w:rsidRDefault="009B7307" w:rsidP="00AE7067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lastRenderedPageBreak/>
              <w:t>Компания выдаёт деньги физическому лицу</w:t>
            </w:r>
          </w:p>
          <w:p w14:paraId="0BB34445" w14:textId="77777777" w:rsidR="009B7307" w:rsidRPr="00AE7067" w:rsidRDefault="009B7307" w:rsidP="00AE7067">
            <w:pPr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Правила предоставления денежных займов физическим лицам с 23 апреля 2026 года. Почему статус участника общества сам по себе не даёт права получить заём. 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Исключения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налоговые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последствия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>допустимого</w:t>
            </w:r>
            <w:proofErr w:type="spellEnd"/>
            <w:r w:rsidRPr="00AE706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займа и пример частичного возврата.</w:t>
            </w:r>
          </w:p>
        </w:tc>
      </w:tr>
      <w:tr w:rsidR="009B7307" w:rsidRPr="00B46400" w14:paraId="0E8B6F24" w14:textId="77777777" w:rsidTr="00725624">
        <w:trPr>
          <w:cantSplit/>
          <w:jc w:val="center"/>
        </w:trPr>
        <w:tc>
          <w:tcPr>
            <w:tcW w:w="10482" w:type="dxa"/>
            <w:tcMar>
              <w:top w:w="82" w:type="dxa"/>
              <w:left w:w="125" w:type="dxa"/>
              <w:bottom w:w="82" w:type="dxa"/>
              <w:right w:w="125" w:type="dxa"/>
            </w:tcMar>
            <w:vAlign w:val="center"/>
          </w:tcPr>
          <w:p w14:paraId="2ED4482D" w14:textId="77777777" w:rsidR="009B7307" w:rsidRPr="00AE7067" w:rsidRDefault="009B7307" w:rsidP="00AE7067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t>Бизнес использует личное имущество</w:t>
            </w:r>
          </w:p>
          <w:p w14:paraId="20E1B938" w14:textId="77777777" w:rsidR="009B7307" w:rsidRPr="00AE7067" w:rsidRDefault="009B7307" w:rsidP="00AE7067">
            <w:pPr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Автомобиль, ноутбук, оборудование и иное имущество собственника или работника. Аренда и компенсация за использование личного имущества. Изменения 2026 года, документальное оформление и связь расходов с деятельностью организации.</w:t>
            </w:r>
          </w:p>
        </w:tc>
      </w:tr>
      <w:tr w:rsidR="009B7307" w:rsidRPr="00B46400" w14:paraId="1AF7D325" w14:textId="77777777" w:rsidTr="00725624">
        <w:trPr>
          <w:cantSplit/>
          <w:jc w:val="center"/>
        </w:trPr>
        <w:tc>
          <w:tcPr>
            <w:tcW w:w="10482" w:type="dxa"/>
            <w:shd w:val="clear" w:color="auto" w:fill="F4F5F6"/>
            <w:tcMar>
              <w:top w:w="82" w:type="dxa"/>
              <w:left w:w="125" w:type="dxa"/>
              <w:bottom w:w="82" w:type="dxa"/>
              <w:right w:w="125" w:type="dxa"/>
            </w:tcMar>
            <w:vAlign w:val="center"/>
          </w:tcPr>
          <w:p w14:paraId="4D9259AE" w14:textId="77777777" w:rsidR="009B7307" w:rsidRPr="00AE7067" w:rsidRDefault="009B7307" w:rsidP="00AE7067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t>Личные покупки и корпоративная карта</w:t>
            </w:r>
          </w:p>
          <w:p w14:paraId="02874893" w14:textId="77777777" w:rsidR="009B7307" w:rsidRPr="00AE7067" w:rsidRDefault="009B7307" w:rsidP="00AE7067">
            <w:pPr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Почему оплата корпоративной картой не подтверждает хозяйственный расход. Проверка цели покупки, получателя, использования и документов. Последствия оплаты личных расходов за счёт компании и порядок действий при ошибочной операции.</w:t>
            </w:r>
          </w:p>
        </w:tc>
      </w:tr>
      <w:tr w:rsidR="009B7307" w:rsidRPr="00B46400" w14:paraId="141D6056" w14:textId="77777777" w:rsidTr="00725624">
        <w:trPr>
          <w:cantSplit/>
          <w:jc w:val="center"/>
        </w:trPr>
        <w:tc>
          <w:tcPr>
            <w:tcW w:w="10482" w:type="dxa"/>
            <w:tcMar>
              <w:top w:w="82" w:type="dxa"/>
              <w:left w:w="125" w:type="dxa"/>
              <w:bottom w:w="82" w:type="dxa"/>
              <w:right w:w="125" w:type="dxa"/>
            </w:tcMar>
            <w:vAlign w:val="center"/>
          </w:tcPr>
          <w:p w14:paraId="3A120680" w14:textId="77777777" w:rsidR="009B7307" w:rsidRPr="00AE7067" w:rsidRDefault="009B7307" w:rsidP="00AE7067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t>Практический итог</w:t>
            </w:r>
          </w:p>
          <w:p w14:paraId="60901FB6" w14:textId="77777777" w:rsidR="009B7307" w:rsidRPr="00AE7067" w:rsidRDefault="009B7307" w:rsidP="00AE7067">
            <w:pPr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Что проверить после вебинара: расчёты с собственником, договоры финансирования, задолженность по займам, решения о распределении прибыли, использование личного имущества и операции по корпоративным картам.</w:t>
            </w:r>
          </w:p>
        </w:tc>
      </w:tr>
      <w:tr w:rsidR="009B7307" w:rsidRPr="00B46400" w14:paraId="484539CD" w14:textId="77777777" w:rsidTr="00725624">
        <w:trPr>
          <w:cantSplit/>
          <w:jc w:val="center"/>
        </w:trPr>
        <w:tc>
          <w:tcPr>
            <w:tcW w:w="10482" w:type="dxa"/>
            <w:shd w:val="clear" w:color="auto" w:fill="F4F5F6"/>
            <w:tcMar>
              <w:top w:w="82" w:type="dxa"/>
              <w:left w:w="125" w:type="dxa"/>
              <w:bottom w:w="82" w:type="dxa"/>
              <w:right w:w="125" w:type="dxa"/>
            </w:tcMar>
            <w:vAlign w:val="center"/>
          </w:tcPr>
          <w:p w14:paraId="5D20A610" w14:textId="77777777" w:rsidR="009B7307" w:rsidRPr="00AE7067" w:rsidRDefault="009B7307" w:rsidP="00AE7067">
            <w:pPr>
              <w:spacing w:after="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b/>
                <w:sz w:val="24"/>
                <w:szCs w:val="24"/>
                <w:lang w:val="ru-RU"/>
              </w:rPr>
              <w:t>Ответы на вопросы участников</w:t>
            </w:r>
          </w:p>
          <w:p w14:paraId="488F9B4A" w14:textId="77777777" w:rsidR="009B7307" w:rsidRPr="00AE7067" w:rsidRDefault="009B7307" w:rsidP="00AE7067">
            <w:pPr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7067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Разбор типовых вопросов без раскрытия персональных данных и реквизитов компаний. Возможность передать одну конкретную операцию для последующего краткого экспресс-разбора с налоговым консультантом.</w:t>
            </w:r>
          </w:p>
        </w:tc>
      </w:tr>
    </w:tbl>
    <w:p w14:paraId="22C75819" w14:textId="77777777" w:rsidR="00AF211E" w:rsidRPr="00AE7067" w:rsidRDefault="00000000" w:rsidP="00725624">
      <w:pPr>
        <w:pStyle w:val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hAnsi="Times New Roman" w:cs="Times New Roman"/>
          <w:sz w:val="24"/>
          <w:szCs w:val="24"/>
          <w:lang w:val="ru-RU"/>
        </w:rPr>
        <w:t>Практический формат</w:t>
      </w:r>
    </w:p>
    <w:p w14:paraId="548B7CC4" w14:textId="77777777" w:rsidR="00AF211E" w:rsidRPr="00AE7067" w:rsidRDefault="00000000" w:rsidP="0072562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sz w:val="24"/>
          <w:szCs w:val="24"/>
          <w:lang w:val="ru-RU"/>
        </w:rPr>
        <w:t>Каждый тематический блок строится по единой логике: ситуация предпринимателя, обезличенный белорусский кейс, причина налогового риска и корректный порядок действий. После ключевых кейсов участники получают вопросы для проверки в собственной компании.</w:t>
      </w:r>
    </w:p>
    <w:p w14:paraId="063E4233" w14:textId="77777777" w:rsidR="00AF211E" w:rsidRPr="00AE7067" w:rsidRDefault="00000000" w:rsidP="0072562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sz w:val="24"/>
          <w:szCs w:val="24"/>
          <w:lang w:val="ru-RU"/>
        </w:rPr>
        <w:t>Для вовлечения аудитории предусмотрен короткий опрос по пяти ситуациям вебинара.</w:t>
      </w:r>
    </w:p>
    <w:p w14:paraId="1D7E4D96" w14:textId="77777777" w:rsidR="00AF211E" w:rsidRPr="00AE7067" w:rsidRDefault="00000000" w:rsidP="00725624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7067">
        <w:rPr>
          <w:rFonts w:ascii="Times New Roman" w:hAnsi="Times New Roman" w:cs="Times New Roman"/>
          <w:sz w:val="24"/>
          <w:szCs w:val="24"/>
        </w:rPr>
        <w:t>Материалы</w:t>
      </w:r>
      <w:proofErr w:type="spellEnd"/>
      <w:r w:rsidRPr="00AE7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067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AE7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067">
        <w:rPr>
          <w:rFonts w:ascii="Times New Roman" w:hAnsi="Times New Roman" w:cs="Times New Roman"/>
          <w:sz w:val="24"/>
          <w:szCs w:val="24"/>
        </w:rPr>
        <w:t>участников</w:t>
      </w:r>
      <w:proofErr w:type="spellEnd"/>
    </w:p>
    <w:p w14:paraId="117329AB" w14:textId="77777777" w:rsidR="00AF211E" w:rsidRPr="00AE7067" w:rsidRDefault="00000000" w:rsidP="00725624">
      <w:pPr>
        <w:pStyle w:val="a0"/>
        <w:spacing w:after="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sz w:val="24"/>
          <w:szCs w:val="24"/>
          <w:lang w:val="ru-RU"/>
        </w:rPr>
        <w:t>Практическая памятка по операциям между собственником и компанией.</w:t>
      </w:r>
    </w:p>
    <w:p w14:paraId="0A12451D" w14:textId="77777777" w:rsidR="00AF211E" w:rsidRPr="00AE7067" w:rsidRDefault="00000000" w:rsidP="00725624">
      <w:pPr>
        <w:pStyle w:val="a0"/>
        <w:spacing w:after="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sz w:val="24"/>
          <w:szCs w:val="24"/>
        </w:rPr>
        <w:t>QR</w:t>
      </w:r>
      <w:r w:rsidRPr="00AE706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код и ссылка для описания одной конкретной операции, которая вызывает сомнения.</w:t>
      </w:r>
    </w:p>
    <w:p w14:paraId="79F221A7" w14:textId="77777777" w:rsidR="00AF211E" w:rsidRPr="00AE7067" w:rsidRDefault="00000000" w:rsidP="00725624">
      <w:pPr>
        <w:pStyle w:val="a0"/>
        <w:spacing w:after="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sz w:val="24"/>
          <w:szCs w:val="24"/>
          <w:lang w:val="ru-RU"/>
        </w:rPr>
        <w:t>Экспресс-разбор: уровень риска, недостающие документы и следующее действие.</w:t>
      </w:r>
    </w:p>
    <w:p w14:paraId="590205BE" w14:textId="77777777" w:rsidR="00AF211E" w:rsidRPr="00AE7067" w:rsidRDefault="00000000" w:rsidP="0072562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color w:val="6B7280"/>
          <w:sz w:val="24"/>
          <w:szCs w:val="24"/>
          <w:lang w:val="ru-RU"/>
        </w:rPr>
        <w:t>Через форму не запрашиваются документы, УНП, банковские реквизиты, паспортные данные и иные чувствительные сведения. Ситуации, требующие анализа договоров, расчётов или нескольких налоговых периодов, рассматриваются отдельно.</w:t>
      </w:r>
    </w:p>
    <w:p w14:paraId="3DA33073" w14:textId="77777777" w:rsidR="00AF211E" w:rsidRPr="00AE7067" w:rsidRDefault="00000000" w:rsidP="00725624">
      <w:pPr>
        <w:pStyle w:val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hAnsi="Times New Roman" w:cs="Times New Roman"/>
          <w:sz w:val="24"/>
          <w:szCs w:val="24"/>
          <w:lang w:val="ru-RU"/>
        </w:rPr>
        <w:t>Результат для участников</w:t>
      </w:r>
    </w:p>
    <w:p w14:paraId="3886913B" w14:textId="77777777" w:rsidR="00AF211E" w:rsidRPr="00AE7067" w:rsidRDefault="00000000" w:rsidP="0072562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sz w:val="24"/>
          <w:szCs w:val="24"/>
          <w:lang w:val="ru-RU"/>
        </w:rPr>
        <w:t>После вебинара предприниматель сможет отличать деньги компании от личных средств собственника, выбирать законный способ финансирования бизнеса или получения дохода, замечать рискованные операции и понимать, какие документы проверить до их совершения.</w:t>
      </w:r>
    </w:p>
    <w:p w14:paraId="0F3AF4F4" w14:textId="77777777" w:rsidR="00725624" w:rsidRDefault="00725624">
      <w:pPr>
        <w:spacing w:before="80" w:after="140"/>
        <w:jc w:val="center"/>
        <w:rPr>
          <w:rFonts w:ascii="Times New Roman" w:eastAsia="Arial" w:hAnsi="Times New Roman" w:cs="Times New Roman"/>
          <w:b/>
          <w:color w:val="0E5F37"/>
          <w:sz w:val="24"/>
          <w:szCs w:val="24"/>
          <w:lang w:val="ru-RU"/>
        </w:rPr>
      </w:pPr>
    </w:p>
    <w:p w14:paraId="1D7E5C07" w14:textId="40581C1A" w:rsidR="00AF211E" w:rsidRPr="00AE7067" w:rsidRDefault="00000000">
      <w:pPr>
        <w:spacing w:before="80" w:after="1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E7067">
        <w:rPr>
          <w:rFonts w:ascii="Times New Roman" w:eastAsia="Arial" w:hAnsi="Times New Roman" w:cs="Times New Roman"/>
          <w:b/>
          <w:color w:val="0E5F37"/>
          <w:sz w:val="24"/>
          <w:szCs w:val="24"/>
          <w:lang w:val="ru-RU"/>
        </w:rPr>
        <w:t>Практический принцип: у каждого движения денег должны быть основание, документы, корректное отражение в учёте и понятные налоговые последствия.</w:t>
      </w:r>
    </w:p>
    <w:sectPr w:rsidR="00AF211E" w:rsidRPr="00AE7067" w:rsidSect="00725624">
      <w:pgSz w:w="12240" w:h="15840"/>
      <w:pgMar w:top="709" w:right="616" w:bottom="284" w:left="936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412AE" w14:textId="77777777" w:rsidR="00E5621E" w:rsidRDefault="00E5621E">
      <w:pPr>
        <w:spacing w:after="0" w:line="240" w:lineRule="auto"/>
      </w:pPr>
      <w:r>
        <w:separator/>
      </w:r>
    </w:p>
  </w:endnote>
  <w:endnote w:type="continuationSeparator" w:id="0">
    <w:p w14:paraId="7140DC6C" w14:textId="77777777" w:rsidR="00E5621E" w:rsidRDefault="00E56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64AFA" w14:textId="77777777" w:rsidR="00E5621E" w:rsidRDefault="00E5621E">
      <w:pPr>
        <w:spacing w:after="0" w:line="240" w:lineRule="auto"/>
      </w:pPr>
      <w:r>
        <w:separator/>
      </w:r>
    </w:p>
  </w:footnote>
  <w:footnote w:type="continuationSeparator" w:id="0">
    <w:p w14:paraId="7D12B5CA" w14:textId="77777777" w:rsidR="00E5621E" w:rsidRDefault="00E56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6725936">
    <w:abstractNumId w:val="8"/>
  </w:num>
  <w:num w:numId="2" w16cid:durableId="219555326">
    <w:abstractNumId w:val="6"/>
  </w:num>
  <w:num w:numId="3" w16cid:durableId="831717876">
    <w:abstractNumId w:val="5"/>
  </w:num>
  <w:num w:numId="4" w16cid:durableId="1250458946">
    <w:abstractNumId w:val="4"/>
  </w:num>
  <w:num w:numId="5" w16cid:durableId="921912962">
    <w:abstractNumId w:val="7"/>
  </w:num>
  <w:num w:numId="6" w16cid:durableId="1195852974">
    <w:abstractNumId w:val="3"/>
  </w:num>
  <w:num w:numId="7" w16cid:durableId="1673949572">
    <w:abstractNumId w:val="2"/>
  </w:num>
  <w:num w:numId="8" w16cid:durableId="524366916">
    <w:abstractNumId w:val="1"/>
  </w:num>
  <w:num w:numId="9" w16cid:durableId="1832255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5C1F"/>
    <w:rsid w:val="001B436A"/>
    <w:rsid w:val="0029639D"/>
    <w:rsid w:val="00326F90"/>
    <w:rsid w:val="00457EF0"/>
    <w:rsid w:val="006F6338"/>
    <w:rsid w:val="007213E6"/>
    <w:rsid w:val="00725624"/>
    <w:rsid w:val="007A287A"/>
    <w:rsid w:val="00970E65"/>
    <w:rsid w:val="009B7307"/>
    <w:rsid w:val="00A145E1"/>
    <w:rsid w:val="00AA1D8D"/>
    <w:rsid w:val="00AE7067"/>
    <w:rsid w:val="00AF211E"/>
    <w:rsid w:val="00B2464D"/>
    <w:rsid w:val="00B46400"/>
    <w:rsid w:val="00B47730"/>
    <w:rsid w:val="00CB0664"/>
    <w:rsid w:val="00E562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DB61E7"/>
  <w14:defaultImageDpi w14:val="300"/>
  <w15:docId w15:val="{F29D1079-C100-4E64-B7F9-54BE3BC0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/>
      <w:b/>
      <w:bCs/>
      <w:sz w:val="27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 проведения онлайн вебинара 22 сентября 2026 года</vt:lpstr>
      <vt:lpstr/>
    </vt:vector>
  </TitlesOfParts>
  <Manager/>
  <Company/>
  <LinksUpToDate>false</LinksUpToDate>
  <CharactersWithSpaces>4501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онлайн вебинара 22 сентября 2026 года</dc:title>
  <dc:subject>План вебинара для Белорусского фонда финансовой поддержки предпринимателей</dc:subject>
  <dc:creator>ООО «АхиТовКонсалтинг»</dc:creator>
  <cp:keywords>вебинар, собственник, компания, налоги, Беларусь</cp:keywords>
  <dc:description>generated by python-docx</dc:description>
  <cp:lastModifiedBy>User</cp:lastModifiedBy>
  <cp:revision>5</cp:revision>
  <dcterms:created xsi:type="dcterms:W3CDTF">2026-09-16T07:49:00Z</dcterms:created>
  <dcterms:modified xsi:type="dcterms:W3CDTF">2026-09-16T10:59:00Z</dcterms:modified>
  <cp:category/>
</cp:coreProperties>
</file>